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5CE3" w14:textId="187BAD8B" w:rsidR="004B5416" w:rsidRPr="007860B5" w:rsidRDefault="004B5416" w:rsidP="004B5416">
      <w:pPr>
        <w:spacing w:after="0" w:line="240" w:lineRule="auto"/>
        <w:ind w:firstLine="567"/>
        <w:jc w:val="right"/>
        <w:rPr>
          <w:rFonts w:ascii="Times New Roman" w:eastAsia="Times New Roman" w:hAnsi="Times New Roman" w:cs="Times New Roman"/>
          <w:kern w:val="0"/>
          <w:sz w:val="32"/>
          <w:szCs w:val="32"/>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w:t>
      </w:r>
      <w:r w:rsidRPr="007860B5">
        <w:rPr>
          <w:rFonts w:ascii="Times New Roman" w:eastAsia="Times New Roman" w:hAnsi="Times New Roman" w:cs="Times New Roman"/>
          <w:b/>
          <w:bCs/>
          <w:kern w:val="0"/>
          <w:sz w:val="32"/>
          <w:szCs w:val="32"/>
          <w:lang w:val="en-GB" w:eastAsia="ro-MD"/>
          <w14:ligatures w14:val="none"/>
        </w:rPr>
        <w:t>E</w:t>
      </w:r>
      <w:r w:rsidR="00C85554" w:rsidRPr="007860B5">
        <w:rPr>
          <w:rFonts w:ascii="Times New Roman" w:eastAsia="Times New Roman" w:hAnsi="Times New Roman" w:cs="Times New Roman"/>
          <w:b/>
          <w:bCs/>
          <w:kern w:val="0"/>
          <w:sz w:val="32"/>
          <w:szCs w:val="32"/>
          <w:lang w:val="en-GB" w:eastAsia="ro-MD"/>
          <w14:ligatures w14:val="none"/>
        </w:rPr>
        <w:t>U</w:t>
      </w:r>
    </w:p>
    <w:p w14:paraId="7860432F" w14:textId="63AD26FE" w:rsidR="004B5416" w:rsidRPr="007860B5" w:rsidRDefault="00C85554" w:rsidP="004B5416">
      <w:pPr>
        <w:spacing w:after="0" w:line="240" w:lineRule="auto"/>
        <w:jc w:val="right"/>
        <w:rPr>
          <w:rFonts w:ascii="Times New Roman" w:eastAsia="Times New Roman" w:hAnsi="Times New Roman" w:cs="Times New Roman"/>
          <w:i/>
          <w:iCs/>
          <w:kern w:val="0"/>
          <w:sz w:val="24"/>
          <w:szCs w:val="24"/>
          <w:lang w:val="en-GB" w:eastAsia="ro-MD"/>
          <w14:ligatures w14:val="none"/>
        </w:rPr>
      </w:pPr>
      <w:r w:rsidRPr="007860B5">
        <w:rPr>
          <w:rFonts w:ascii="Times New Roman" w:eastAsia="Times New Roman" w:hAnsi="Times New Roman" w:cs="Times New Roman"/>
          <w:i/>
          <w:iCs/>
          <w:kern w:val="0"/>
          <w:sz w:val="24"/>
          <w:szCs w:val="24"/>
          <w:lang w:val="en-GB" w:eastAsia="ro-MD"/>
          <w14:ligatures w14:val="none"/>
        </w:rPr>
        <w:t>Project</w:t>
      </w:r>
    </w:p>
    <w:p w14:paraId="1FFE504C" w14:textId="77777777" w:rsidR="004B5416" w:rsidRPr="007860B5" w:rsidRDefault="004B5416" w:rsidP="004B5416">
      <w:pPr>
        <w:spacing w:after="0" w:line="240" w:lineRule="auto"/>
        <w:rPr>
          <w:rFonts w:ascii="Times New Roman" w:eastAsia="Times New Roman" w:hAnsi="Times New Roman" w:cs="Times New Roman"/>
          <w:b/>
          <w:bCs/>
          <w:kern w:val="0"/>
          <w:sz w:val="24"/>
          <w:szCs w:val="24"/>
          <w:lang w:val="en-GB" w:eastAsia="ro-MD"/>
          <w14:ligatures w14:val="none"/>
        </w:rPr>
      </w:pPr>
    </w:p>
    <w:p w14:paraId="7A5B2E93" w14:textId="6434F7B6" w:rsidR="004B5416"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bookmarkStart w:id="0" w:name="_Hlk175317190"/>
      <w:r w:rsidRPr="007860B5">
        <w:rPr>
          <w:rFonts w:ascii="Times New Roman" w:eastAsia="Times New Roman" w:hAnsi="Times New Roman" w:cs="Times New Roman"/>
          <w:b/>
          <w:kern w:val="0"/>
          <w:sz w:val="24"/>
          <w:szCs w:val="24"/>
          <w:lang w:val="en-GB" w:eastAsia="ro-MD" w:bidi="ro-RO"/>
          <w14:ligatures w14:val="none"/>
        </w:rPr>
        <w:t>EXECUTIVE BOARD</w:t>
      </w:r>
    </w:p>
    <w:p w14:paraId="5E2CD85D" w14:textId="6C920A2C" w:rsidR="004B5416"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r w:rsidRPr="007860B5">
        <w:rPr>
          <w:rFonts w:ascii="Times New Roman" w:eastAsia="Times New Roman" w:hAnsi="Times New Roman" w:cs="Times New Roman"/>
          <w:b/>
          <w:kern w:val="0"/>
          <w:sz w:val="24"/>
          <w:szCs w:val="24"/>
          <w:lang w:val="en-GB" w:eastAsia="ro-MD" w:bidi="ro-RO"/>
          <w14:ligatures w14:val="none"/>
        </w:rPr>
        <w:t>OF THE NATIONAL BANK OF MOLDOVA</w:t>
      </w:r>
    </w:p>
    <w:p w14:paraId="5DB1C46D" w14:textId="77777777" w:rsidR="00C85554"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p>
    <w:p w14:paraId="7D487A16" w14:textId="6914E24D" w:rsidR="00C85554"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r w:rsidRPr="007860B5">
        <w:rPr>
          <w:rFonts w:ascii="Times New Roman" w:eastAsia="Times New Roman" w:hAnsi="Times New Roman" w:cs="Times New Roman"/>
          <w:b/>
          <w:kern w:val="0"/>
          <w:sz w:val="24"/>
          <w:szCs w:val="24"/>
          <w:lang w:val="en-GB" w:eastAsia="ro-MD" w:bidi="ro-RO"/>
          <w14:ligatures w14:val="none"/>
        </w:rPr>
        <w:t>DECISION No 311</w:t>
      </w:r>
    </w:p>
    <w:p w14:paraId="09F20F80" w14:textId="5375769D" w:rsidR="004B5416"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r w:rsidRPr="007860B5">
        <w:rPr>
          <w:rFonts w:ascii="Times New Roman" w:eastAsia="Times New Roman" w:hAnsi="Times New Roman" w:cs="Times New Roman"/>
          <w:b/>
          <w:kern w:val="0"/>
          <w:sz w:val="24"/>
          <w:szCs w:val="24"/>
          <w:lang w:val="en-GB" w:eastAsia="ro-MD" w:bidi="ro-RO"/>
          <w14:ligatures w14:val="none"/>
        </w:rPr>
        <w:t>of 23 December 2025</w:t>
      </w:r>
    </w:p>
    <w:p w14:paraId="25F474F2" w14:textId="77777777" w:rsidR="00C85554" w:rsidRPr="007860B5" w:rsidRDefault="00C85554" w:rsidP="004B5416">
      <w:pPr>
        <w:spacing w:after="0" w:line="240" w:lineRule="auto"/>
        <w:jc w:val="center"/>
        <w:rPr>
          <w:rFonts w:ascii="Times New Roman" w:eastAsia="Times New Roman" w:hAnsi="Times New Roman" w:cs="Times New Roman"/>
          <w:b/>
          <w:kern w:val="0"/>
          <w:sz w:val="24"/>
          <w:szCs w:val="24"/>
          <w:lang w:val="en-GB" w:eastAsia="ro-MD" w:bidi="ro-RO"/>
          <w14:ligatures w14:val="none"/>
        </w:rPr>
      </w:pPr>
    </w:p>
    <w:p w14:paraId="6E45EA0A" w14:textId="44839DF9" w:rsidR="004B0F26" w:rsidRPr="007860B5" w:rsidRDefault="004B0F26" w:rsidP="004B0F2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 xml:space="preserve">For the approval of the Regulation on </w:t>
      </w:r>
      <w:r w:rsidR="002A686E" w:rsidRPr="007860B5">
        <w:rPr>
          <w:rFonts w:ascii="Times New Roman" w:eastAsia="Times New Roman" w:hAnsi="Times New Roman" w:cs="Times New Roman"/>
          <w:b/>
          <w:bCs/>
          <w:kern w:val="0"/>
          <w:sz w:val="24"/>
          <w:szCs w:val="24"/>
          <w:lang w:val="en-GB" w:eastAsia="ro-MD"/>
          <w14:ligatures w14:val="none"/>
        </w:rPr>
        <w:t>own funds requirements for operational risk, amendment and repeal</w:t>
      </w:r>
    </w:p>
    <w:p w14:paraId="0EE38B2D" w14:textId="084B3698" w:rsidR="004B5416" w:rsidRPr="007860B5" w:rsidRDefault="002A686E" w:rsidP="004B0F2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 xml:space="preserve">of certain normative acts of the </w:t>
      </w:r>
      <w:r w:rsidR="004B0F26" w:rsidRPr="007860B5">
        <w:rPr>
          <w:rFonts w:ascii="Times New Roman" w:eastAsia="Times New Roman" w:hAnsi="Times New Roman" w:cs="Times New Roman"/>
          <w:b/>
          <w:bCs/>
          <w:kern w:val="0"/>
          <w:sz w:val="24"/>
          <w:szCs w:val="24"/>
          <w:lang w:val="en-GB" w:eastAsia="ro-MD"/>
          <w14:ligatures w14:val="none"/>
        </w:rPr>
        <w:t>National Bank of Moldova</w:t>
      </w:r>
    </w:p>
    <w:p w14:paraId="4F4150FF" w14:textId="77777777" w:rsidR="004B0F26" w:rsidRPr="007860B5" w:rsidRDefault="004B0F26" w:rsidP="004B0F26">
      <w:pPr>
        <w:spacing w:after="0" w:line="240" w:lineRule="auto"/>
        <w:rPr>
          <w:rFonts w:ascii="Times New Roman" w:eastAsia="Times New Roman" w:hAnsi="Times New Roman" w:cs="Times New Roman"/>
          <w:kern w:val="0"/>
          <w:sz w:val="24"/>
          <w:szCs w:val="24"/>
          <w:lang w:val="en-GB" w:eastAsia="ro-MD"/>
          <w14:ligatures w14:val="none"/>
        </w:rPr>
      </w:pPr>
    </w:p>
    <w:p w14:paraId="4998FDEA" w14:textId="72AC2D06" w:rsidR="009712B5" w:rsidRPr="007860B5" w:rsidRDefault="009712B5" w:rsidP="009712B5">
      <w:pPr>
        <w:spacing w:after="0" w:line="240" w:lineRule="auto"/>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Pursuant to Article 70 paragraph (1) of Law No 202/2017 on </w:t>
      </w:r>
      <w:r w:rsidR="004A5E9B">
        <w:rPr>
          <w:rFonts w:ascii="Times New Roman" w:eastAsia="Times New Roman" w:hAnsi="Times New Roman" w:cs="Times New Roman"/>
          <w:kern w:val="0"/>
          <w:sz w:val="24"/>
          <w:szCs w:val="24"/>
          <w:lang w:val="en-GB" w:eastAsia="ro-MD"/>
          <w14:ligatures w14:val="none"/>
        </w:rPr>
        <w:t>the activity of</w:t>
      </w:r>
      <w:r w:rsidRPr="007860B5">
        <w:rPr>
          <w:rFonts w:ascii="Times New Roman" w:eastAsia="Times New Roman" w:hAnsi="Times New Roman" w:cs="Times New Roman"/>
          <w:kern w:val="0"/>
          <w:sz w:val="24"/>
          <w:szCs w:val="24"/>
          <w:lang w:val="en-GB" w:eastAsia="ro-MD"/>
          <w14:ligatures w14:val="none"/>
        </w:rPr>
        <w:t xml:space="preserve"> </w:t>
      </w:r>
      <w:r w:rsidR="004A5E9B">
        <w:rPr>
          <w:rFonts w:ascii="Times New Roman" w:eastAsia="Times New Roman" w:hAnsi="Times New Roman" w:cs="Times New Roman"/>
          <w:kern w:val="0"/>
          <w:sz w:val="24"/>
          <w:szCs w:val="24"/>
          <w:lang w:val="en-GB" w:eastAsia="ro-MD"/>
          <w14:ligatures w14:val="none"/>
        </w:rPr>
        <w:t>banks</w:t>
      </w:r>
      <w:r w:rsidRPr="007860B5">
        <w:rPr>
          <w:rFonts w:ascii="Times New Roman" w:eastAsia="Times New Roman" w:hAnsi="Times New Roman" w:cs="Times New Roman"/>
          <w:kern w:val="0"/>
          <w:sz w:val="24"/>
          <w:szCs w:val="24"/>
          <w:lang w:val="en-GB" w:eastAsia="ro-MD"/>
          <w14:ligatures w14:val="none"/>
        </w:rPr>
        <w:t xml:space="preserve"> (Official Gazette of the Republic of Moldova, 2017, No 434 - 439, Article 727), as amended, </w:t>
      </w:r>
    </w:p>
    <w:p w14:paraId="3AC1D85D" w14:textId="0D51C3A8" w:rsidR="004B5416" w:rsidRPr="007860B5" w:rsidRDefault="009712B5" w:rsidP="009712B5">
      <w:pPr>
        <w:spacing w:after="0" w:line="240" w:lineRule="auto"/>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the Executive Board of the National Bank of Moldova</w:t>
      </w:r>
    </w:p>
    <w:p w14:paraId="399639C2" w14:textId="77777777" w:rsidR="004B5416" w:rsidRPr="007860B5" w:rsidRDefault="004B5416" w:rsidP="004B5416">
      <w:pPr>
        <w:spacing w:after="0" w:line="240" w:lineRule="auto"/>
        <w:jc w:val="right"/>
        <w:rPr>
          <w:rFonts w:ascii="Times New Roman" w:eastAsia="Times New Roman" w:hAnsi="Times New Roman" w:cs="Times New Roman"/>
          <w:b/>
          <w:bCs/>
          <w:kern w:val="0"/>
          <w:sz w:val="24"/>
          <w:szCs w:val="24"/>
          <w:lang w:val="en-GB" w:eastAsia="ro-MD"/>
          <w14:ligatures w14:val="none"/>
        </w:rPr>
      </w:pPr>
    </w:p>
    <w:p w14:paraId="53329660" w14:textId="393CFA1C" w:rsidR="004B5416" w:rsidRPr="007860B5" w:rsidRDefault="009712B5" w:rsidP="004B54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DECIDES</w:t>
      </w:r>
      <w:r w:rsidR="004B5416" w:rsidRPr="007860B5">
        <w:rPr>
          <w:rFonts w:ascii="Times New Roman" w:eastAsia="Times New Roman" w:hAnsi="Times New Roman" w:cs="Times New Roman"/>
          <w:b/>
          <w:bCs/>
          <w:kern w:val="0"/>
          <w:sz w:val="24"/>
          <w:szCs w:val="24"/>
          <w:lang w:val="en-GB" w:eastAsia="ro-MD"/>
          <w14:ligatures w14:val="none"/>
        </w:rPr>
        <w:t>:</w:t>
      </w:r>
    </w:p>
    <w:p w14:paraId="6B0A9098" w14:textId="19527346" w:rsidR="003B401F" w:rsidRPr="007860B5" w:rsidRDefault="00845B3E" w:rsidP="003B401F">
      <w:pPr>
        <w:spacing w:after="0" w:line="240" w:lineRule="auto"/>
        <w:jc w:val="both"/>
        <w:rPr>
          <w:rFonts w:ascii="Times New Roman" w:eastAsia="Times New Roman" w:hAnsi="Times New Roman" w:cs="Times New Roman"/>
          <w:b/>
          <w:bCs/>
          <w:kern w:val="0"/>
          <w:sz w:val="24"/>
          <w:szCs w:val="24"/>
          <w:lang w:val="en-GB" w:eastAsia="ro-MD"/>
          <w14:ligatures w14:val="none"/>
        </w:rPr>
      </w:pPr>
      <w:bookmarkStart w:id="1" w:name="_Hlk204608182"/>
      <w:r w:rsidRPr="007860B5">
        <w:rPr>
          <w:rFonts w:ascii="Times New Roman" w:eastAsia="Times New Roman" w:hAnsi="Times New Roman" w:cs="Times New Roman"/>
          <w:kern w:val="0"/>
          <w:sz w:val="24"/>
          <w:szCs w:val="24"/>
          <w:lang w:val="en-GB" w:eastAsia="ro-MD"/>
          <w14:ligatures w14:val="none"/>
        </w:rPr>
        <w:t xml:space="preserve">This decision partially transposes </w:t>
      </w:r>
      <w:r w:rsidR="00664A0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transposes Article</w:t>
      </w:r>
      <w:r w:rsidR="00664A0F" w:rsidRPr="007860B5">
        <w:rPr>
          <w:rFonts w:ascii="Times New Roman" w:eastAsia="Times New Roman" w:hAnsi="Times New Roman" w:cs="Times New Roman"/>
          <w:kern w:val="0"/>
          <w:sz w:val="24"/>
          <w:szCs w:val="24"/>
          <w:lang w:val="en-GB" w:eastAsia="ro-MD"/>
          <w14:ligatures w14:val="none"/>
        </w:rPr>
        <w:t xml:space="preserve"> 1 l</w:t>
      </w:r>
      <w:r w:rsidRPr="007860B5">
        <w:rPr>
          <w:rFonts w:ascii="Times New Roman" w:eastAsia="Times New Roman" w:hAnsi="Times New Roman" w:cs="Times New Roman"/>
          <w:kern w:val="0"/>
          <w:sz w:val="24"/>
          <w:szCs w:val="24"/>
          <w:lang w:val="en-GB" w:eastAsia="ro-MD"/>
          <w14:ligatures w14:val="none"/>
        </w:rPr>
        <w:t>etter</w:t>
      </w:r>
      <w:r w:rsidR="00664A0F" w:rsidRPr="007860B5">
        <w:rPr>
          <w:rFonts w:ascii="Times New Roman" w:eastAsia="Times New Roman" w:hAnsi="Times New Roman" w:cs="Times New Roman"/>
          <w:kern w:val="0"/>
          <w:sz w:val="24"/>
          <w:szCs w:val="24"/>
          <w:lang w:val="en-GB" w:eastAsia="ro-MD"/>
          <w14:ligatures w14:val="none"/>
        </w:rPr>
        <w:t xml:space="preserve"> (a), </w:t>
      </w:r>
      <w:r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4 </w:t>
      </w:r>
      <w:r w:rsidRPr="007860B5">
        <w:rPr>
          <w:rFonts w:ascii="Times New Roman" w:eastAsia="Times New Roman" w:hAnsi="Times New Roman" w:cs="Times New Roman"/>
          <w:kern w:val="0"/>
          <w:sz w:val="24"/>
          <w:szCs w:val="24"/>
          <w:lang w:val="en-GB" w:eastAsia="ro-MD"/>
          <w14:ligatures w14:val="none"/>
        </w:rPr>
        <w:t xml:space="preserve">paragraph </w:t>
      </w:r>
      <w:r w:rsidR="00664A0F" w:rsidRPr="007860B5">
        <w:rPr>
          <w:rFonts w:ascii="Times New Roman" w:eastAsia="Times New Roman" w:hAnsi="Times New Roman" w:cs="Times New Roman"/>
          <w:kern w:val="0"/>
          <w:sz w:val="24"/>
          <w:szCs w:val="24"/>
          <w:lang w:val="en-GB" w:eastAsia="ro-MD"/>
          <w14:ligatures w14:val="none"/>
        </w:rPr>
        <w:t xml:space="preserve">52, </w:t>
      </w:r>
      <w:r w:rsidRPr="007860B5">
        <w:rPr>
          <w:rFonts w:ascii="Times New Roman" w:eastAsia="Times New Roman" w:hAnsi="Times New Roman" w:cs="Times New Roman"/>
          <w:kern w:val="0"/>
          <w:sz w:val="24"/>
          <w:szCs w:val="24"/>
          <w:lang w:val="en-GB" w:eastAsia="ro-MD"/>
          <w14:ligatures w14:val="none"/>
        </w:rPr>
        <w:t>paragraphs</w:t>
      </w:r>
      <w:r w:rsidR="00664A0F" w:rsidRPr="007860B5">
        <w:rPr>
          <w:rFonts w:ascii="Times New Roman" w:eastAsia="Times New Roman" w:hAnsi="Times New Roman" w:cs="Times New Roman"/>
          <w:kern w:val="0"/>
          <w:sz w:val="24"/>
          <w:szCs w:val="24"/>
          <w:lang w:val="en-GB" w:eastAsia="ro-MD"/>
          <w14:ligatures w14:val="none"/>
        </w:rPr>
        <w:t xml:space="preserve"> 52a- 52c,</w:t>
      </w:r>
      <w:r w:rsidRPr="007860B5">
        <w:rPr>
          <w:rFonts w:ascii="Times New Roman" w:eastAsia="Times New Roman" w:hAnsi="Times New Roman" w:cs="Times New Roman"/>
          <w:kern w:val="0"/>
          <w:sz w:val="24"/>
          <w:szCs w:val="24"/>
          <w:lang w:val="en-GB" w:eastAsia="ro-MD"/>
          <w14:ligatures w14:val="none"/>
        </w:rPr>
        <w:t xml:space="preserve"> paragraphs</w:t>
      </w:r>
      <w:r w:rsidR="00664A0F" w:rsidRPr="007860B5">
        <w:rPr>
          <w:rFonts w:ascii="Times New Roman" w:eastAsia="Times New Roman" w:hAnsi="Times New Roman" w:cs="Times New Roman"/>
          <w:kern w:val="0"/>
          <w:sz w:val="24"/>
          <w:szCs w:val="24"/>
          <w:lang w:val="en-GB" w:eastAsia="ro-MD"/>
          <w14:ligatures w14:val="none"/>
        </w:rPr>
        <w:t xml:space="preserve"> 311a - 313, </w:t>
      </w:r>
      <w:r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314 </w:t>
      </w:r>
      <w:r w:rsidR="00BA1A37" w:rsidRPr="007860B5">
        <w:rPr>
          <w:rFonts w:ascii="Times New Roman" w:eastAsia="Times New Roman" w:hAnsi="Times New Roman" w:cs="Times New Roman"/>
          <w:kern w:val="0"/>
          <w:sz w:val="24"/>
          <w:szCs w:val="24"/>
          <w:lang w:val="en-GB" w:eastAsia="ro-MD"/>
          <w14:ligatures w14:val="none"/>
        </w:rPr>
        <w:t xml:space="preserve"> paragraphs </w:t>
      </w:r>
      <w:r w:rsidR="00664A0F" w:rsidRPr="007860B5">
        <w:rPr>
          <w:rFonts w:ascii="Times New Roman" w:eastAsia="Times New Roman" w:hAnsi="Times New Roman" w:cs="Times New Roman"/>
          <w:kern w:val="0"/>
          <w:sz w:val="24"/>
          <w:szCs w:val="24"/>
          <w:lang w:val="en-GB" w:eastAsia="ro-MD"/>
          <w14:ligatures w14:val="none"/>
        </w:rPr>
        <w:t xml:space="preserve">(1), (2), (5) - (8), </w:t>
      </w:r>
      <w:r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315, </w:t>
      </w:r>
      <w:r w:rsidRPr="007860B5">
        <w:rPr>
          <w:rFonts w:ascii="Times New Roman" w:eastAsia="Times New Roman" w:hAnsi="Times New Roman" w:cs="Times New Roman"/>
          <w:kern w:val="0"/>
          <w:sz w:val="24"/>
          <w:szCs w:val="24"/>
          <w:lang w:val="en-GB" w:eastAsia="ro-MD"/>
          <w14:ligatures w14:val="none"/>
        </w:rPr>
        <w:t xml:space="preserve">Article </w:t>
      </w:r>
      <w:r w:rsidR="00664A0F" w:rsidRPr="007860B5">
        <w:rPr>
          <w:rFonts w:ascii="Times New Roman" w:eastAsia="Times New Roman" w:hAnsi="Times New Roman" w:cs="Times New Roman"/>
          <w:kern w:val="0"/>
          <w:sz w:val="24"/>
          <w:szCs w:val="24"/>
          <w:lang w:val="en-GB" w:eastAsia="ro-MD"/>
          <w14:ligatures w14:val="none"/>
        </w:rPr>
        <w:t>316</w:t>
      </w:r>
      <w:r w:rsidR="001E65F2" w:rsidRPr="007860B5">
        <w:rPr>
          <w:rFonts w:ascii="Times New Roman" w:eastAsia="Times New Roman" w:hAnsi="Times New Roman" w:cs="Times New Roman"/>
          <w:kern w:val="0"/>
          <w:sz w:val="24"/>
          <w:szCs w:val="24"/>
          <w:lang w:val="en-GB" w:eastAsia="ro-MD"/>
          <w14:ligatures w14:val="none"/>
        </w:rPr>
        <w:t xml:space="preserve"> paragraphs</w:t>
      </w:r>
      <w:r w:rsidR="00664A0F" w:rsidRPr="007860B5">
        <w:rPr>
          <w:rFonts w:ascii="Times New Roman" w:eastAsia="Times New Roman" w:hAnsi="Times New Roman" w:cs="Times New Roman"/>
          <w:kern w:val="0"/>
          <w:sz w:val="24"/>
          <w:szCs w:val="24"/>
          <w:lang w:val="en-GB" w:eastAsia="ro-MD"/>
          <w14:ligatures w14:val="none"/>
        </w:rPr>
        <w:t xml:space="preserve"> (1), (2), </w:t>
      </w:r>
      <w:r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317</w:t>
      </w:r>
      <w:r w:rsidR="001E65F2" w:rsidRPr="007860B5">
        <w:rPr>
          <w:rFonts w:ascii="Times New Roman" w:eastAsia="Times New Roman" w:hAnsi="Times New Roman" w:cs="Times New Roman"/>
          <w:kern w:val="0"/>
          <w:sz w:val="24"/>
          <w:szCs w:val="24"/>
          <w:lang w:val="en-GB" w:eastAsia="ro-MD"/>
          <w14:ligatures w14:val="none"/>
        </w:rPr>
        <w:t xml:space="preserve"> paragraphs</w:t>
      </w:r>
      <w:r w:rsidR="00664A0F" w:rsidRPr="007860B5">
        <w:rPr>
          <w:rFonts w:ascii="Times New Roman" w:eastAsia="Times New Roman" w:hAnsi="Times New Roman" w:cs="Times New Roman"/>
          <w:kern w:val="0"/>
          <w:sz w:val="24"/>
          <w:szCs w:val="24"/>
          <w:lang w:val="en-GB" w:eastAsia="ro-MD"/>
          <w14:ligatures w14:val="none"/>
        </w:rPr>
        <w:t xml:space="preserve"> (1) - (8), </w:t>
      </w:r>
      <w:r w:rsidR="00BA1A37" w:rsidRPr="007860B5">
        <w:rPr>
          <w:rFonts w:ascii="Times New Roman" w:eastAsia="Times New Roman" w:hAnsi="Times New Roman" w:cs="Times New Roman"/>
          <w:kern w:val="0"/>
          <w:sz w:val="24"/>
          <w:szCs w:val="24"/>
          <w:lang w:val="en-GB" w:eastAsia="ro-MD"/>
          <w14:ligatures w14:val="none"/>
        </w:rPr>
        <w:t xml:space="preserve">Article </w:t>
      </w:r>
      <w:r w:rsidR="00664A0F" w:rsidRPr="007860B5">
        <w:rPr>
          <w:rFonts w:ascii="Times New Roman" w:eastAsia="Times New Roman" w:hAnsi="Times New Roman" w:cs="Times New Roman"/>
          <w:kern w:val="0"/>
          <w:sz w:val="24"/>
          <w:szCs w:val="24"/>
          <w:lang w:val="en-GB" w:eastAsia="ro-MD"/>
          <w14:ligatures w14:val="none"/>
        </w:rPr>
        <w:t xml:space="preserve">318, </w:t>
      </w:r>
      <w:r w:rsidR="00BA1A37"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319, </w:t>
      </w:r>
      <w:r w:rsidR="00BA1A37"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320 </w:t>
      </w:r>
      <w:r w:rsidR="001E65F2" w:rsidRPr="007860B5">
        <w:rPr>
          <w:rFonts w:ascii="Times New Roman" w:eastAsia="Times New Roman" w:hAnsi="Times New Roman" w:cs="Times New Roman"/>
          <w:kern w:val="0"/>
          <w:sz w:val="24"/>
          <w:szCs w:val="24"/>
          <w:lang w:val="en-GB" w:eastAsia="ro-MD"/>
          <w14:ligatures w14:val="none"/>
        </w:rPr>
        <w:t xml:space="preserve"> paragraphs </w:t>
      </w:r>
      <w:r w:rsidR="00664A0F" w:rsidRPr="007860B5">
        <w:rPr>
          <w:rFonts w:ascii="Times New Roman" w:eastAsia="Times New Roman" w:hAnsi="Times New Roman" w:cs="Times New Roman"/>
          <w:kern w:val="0"/>
          <w:sz w:val="24"/>
          <w:szCs w:val="24"/>
          <w:lang w:val="en-GB" w:eastAsia="ro-MD"/>
          <w14:ligatures w14:val="none"/>
        </w:rPr>
        <w:t xml:space="preserve">(1), (2), </w:t>
      </w:r>
      <w:r w:rsidR="00BA1A37"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321</w:t>
      </w:r>
      <w:r w:rsidR="001E65F2" w:rsidRPr="007860B5">
        <w:rPr>
          <w:rFonts w:ascii="Times New Roman" w:eastAsia="Times New Roman" w:hAnsi="Times New Roman" w:cs="Times New Roman"/>
          <w:kern w:val="0"/>
          <w:sz w:val="24"/>
          <w:szCs w:val="24"/>
          <w:lang w:val="en-GB" w:eastAsia="ro-MD"/>
          <w14:ligatures w14:val="none"/>
        </w:rPr>
        <w:t xml:space="preserve"> paragraph</w:t>
      </w:r>
      <w:r w:rsidR="00664A0F" w:rsidRPr="007860B5">
        <w:rPr>
          <w:rFonts w:ascii="Times New Roman" w:eastAsia="Times New Roman" w:hAnsi="Times New Roman" w:cs="Times New Roman"/>
          <w:kern w:val="0"/>
          <w:sz w:val="24"/>
          <w:szCs w:val="24"/>
          <w:lang w:val="en-GB" w:eastAsia="ro-MD"/>
          <w14:ligatures w14:val="none"/>
        </w:rPr>
        <w:t xml:space="preserve"> (1), </w:t>
      </w:r>
      <w:r w:rsidR="00BA1A37"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322, </w:t>
      </w:r>
      <w:r w:rsidR="00BA1A37" w:rsidRPr="007860B5">
        <w:rPr>
          <w:rFonts w:ascii="Times New Roman" w:eastAsia="Times New Roman" w:hAnsi="Times New Roman" w:cs="Times New Roman"/>
          <w:kern w:val="0"/>
          <w:sz w:val="24"/>
          <w:szCs w:val="24"/>
          <w:lang w:val="en-GB" w:eastAsia="ro-MD"/>
          <w14:ligatures w14:val="none"/>
        </w:rPr>
        <w:t>Article</w:t>
      </w:r>
      <w:r w:rsidR="00664A0F" w:rsidRPr="007860B5">
        <w:rPr>
          <w:rFonts w:ascii="Times New Roman" w:eastAsia="Times New Roman" w:hAnsi="Times New Roman" w:cs="Times New Roman"/>
          <w:kern w:val="0"/>
          <w:sz w:val="24"/>
          <w:szCs w:val="24"/>
          <w:lang w:val="en-GB" w:eastAsia="ro-MD"/>
          <w14:ligatures w14:val="none"/>
        </w:rPr>
        <w:t xml:space="preserve"> 323</w:t>
      </w:r>
      <w:r w:rsidR="001E65F2" w:rsidRPr="007860B5">
        <w:rPr>
          <w:rFonts w:ascii="Times New Roman" w:eastAsia="Times New Roman" w:hAnsi="Times New Roman" w:cs="Times New Roman"/>
          <w:kern w:val="0"/>
          <w:sz w:val="24"/>
          <w:szCs w:val="24"/>
          <w:lang w:val="en-GB" w:eastAsia="ro-MD"/>
          <w14:ligatures w14:val="none"/>
        </w:rPr>
        <w:t xml:space="preserve"> paragraph</w:t>
      </w:r>
      <w:r w:rsidR="00664A0F" w:rsidRPr="007860B5">
        <w:rPr>
          <w:rFonts w:ascii="Times New Roman" w:eastAsia="Times New Roman" w:hAnsi="Times New Roman" w:cs="Times New Roman"/>
          <w:kern w:val="0"/>
          <w:sz w:val="24"/>
          <w:szCs w:val="24"/>
          <w:lang w:val="en-GB" w:eastAsia="ro-MD"/>
          <w14:ligatures w14:val="none"/>
        </w:rPr>
        <w:t xml:space="preserve"> (1)</w:t>
      </w:r>
      <w:r w:rsidR="00844E4A" w:rsidRPr="007860B5">
        <w:rPr>
          <w:rFonts w:ascii="Times New Roman" w:eastAsia="Times New Roman" w:hAnsi="Times New Roman" w:cs="Times New Roman"/>
          <w:kern w:val="0"/>
          <w:sz w:val="24"/>
          <w:szCs w:val="24"/>
          <w:lang w:val="en-GB" w:eastAsia="ro-MD"/>
          <w14:ligatures w14:val="none"/>
        </w:rPr>
        <w:t>,</w:t>
      </w:r>
      <w:r w:rsidR="00664A0F" w:rsidRPr="007860B5">
        <w:rPr>
          <w:rFonts w:ascii="Times New Roman" w:eastAsia="Times New Roman" w:hAnsi="Times New Roman" w:cs="Times New Roman"/>
          <w:kern w:val="0"/>
          <w:sz w:val="24"/>
          <w:szCs w:val="24"/>
          <w:lang w:val="en-GB" w:eastAsia="ro-MD"/>
          <w14:ligatures w14:val="none"/>
        </w:rPr>
        <w:t xml:space="preserve"> </w:t>
      </w:r>
      <w:r w:rsidR="00BA1A37" w:rsidRPr="007860B5">
        <w:rPr>
          <w:rFonts w:ascii="Times New Roman" w:eastAsia="Times New Roman" w:hAnsi="Times New Roman" w:cs="Times New Roman"/>
          <w:kern w:val="0"/>
          <w:sz w:val="24"/>
          <w:szCs w:val="24"/>
          <w:lang w:val="en-GB" w:eastAsia="ro-MD"/>
          <w14:ligatures w14:val="none"/>
        </w:rPr>
        <w:t>and Article</w:t>
      </w:r>
      <w:r w:rsidR="00664A0F" w:rsidRPr="007860B5">
        <w:rPr>
          <w:rFonts w:ascii="Times New Roman" w:eastAsia="Times New Roman" w:hAnsi="Times New Roman" w:cs="Times New Roman"/>
          <w:kern w:val="0"/>
          <w:sz w:val="24"/>
          <w:szCs w:val="24"/>
          <w:lang w:val="en-GB" w:eastAsia="ro-MD"/>
          <w14:ligatures w14:val="none"/>
        </w:rPr>
        <w:t xml:space="preserve"> 324) </w:t>
      </w:r>
      <w:r w:rsidR="003B401F" w:rsidRPr="007860B5">
        <w:rPr>
          <w:rFonts w:ascii="Times New Roman" w:eastAsia="Times New Roman" w:hAnsi="Times New Roman" w:cs="Times New Roman"/>
          <w:kern w:val="0"/>
          <w:sz w:val="24"/>
          <w:szCs w:val="24"/>
          <w:lang w:val="en-GB" w:eastAsia="ro-MD"/>
          <w14:ligatures w14:val="none"/>
        </w:rPr>
        <w:t xml:space="preserve"> </w:t>
      </w:r>
      <w:r w:rsidR="00BA1A37" w:rsidRPr="007860B5">
        <w:rPr>
          <w:rFonts w:ascii="Times New Roman" w:eastAsia="Times New Roman" w:hAnsi="Times New Roman" w:cs="Times New Roman"/>
          <w:kern w:val="0"/>
          <w:sz w:val="24"/>
          <w:szCs w:val="24"/>
          <w:lang w:val="en-GB" w:eastAsia="ro-MD"/>
          <w14:ligatures w14:val="none"/>
        </w:rPr>
        <w:t xml:space="preserve">Regulation No 575/2013 of the European Parliament and of the Council of </w:t>
      </w:r>
      <w:r w:rsidR="003B401F" w:rsidRPr="007860B5">
        <w:rPr>
          <w:rFonts w:ascii="Times New Roman" w:eastAsia="Times New Roman" w:hAnsi="Times New Roman" w:cs="Times New Roman"/>
          <w:kern w:val="0"/>
          <w:sz w:val="24"/>
          <w:szCs w:val="24"/>
          <w:lang w:val="en-GB" w:eastAsia="ro-MD"/>
          <w14:ligatures w14:val="none"/>
        </w:rPr>
        <w:t xml:space="preserve">26 </w:t>
      </w:r>
      <w:r w:rsidR="00BA1A37" w:rsidRPr="007860B5">
        <w:rPr>
          <w:rFonts w:ascii="Times New Roman" w:eastAsia="Times New Roman" w:hAnsi="Times New Roman" w:cs="Times New Roman"/>
          <w:kern w:val="0"/>
          <w:sz w:val="24"/>
          <w:szCs w:val="24"/>
          <w:lang w:val="en-GB" w:eastAsia="ro-MD"/>
          <w14:ligatures w14:val="none"/>
        </w:rPr>
        <w:t>June</w:t>
      </w:r>
      <w:r w:rsidR="003B401F" w:rsidRPr="007860B5">
        <w:rPr>
          <w:rFonts w:ascii="Times New Roman" w:eastAsia="Times New Roman" w:hAnsi="Times New Roman" w:cs="Times New Roman"/>
          <w:kern w:val="0"/>
          <w:sz w:val="24"/>
          <w:szCs w:val="24"/>
          <w:lang w:val="en-GB" w:eastAsia="ro-MD"/>
          <w14:ligatures w14:val="none"/>
        </w:rPr>
        <w:t xml:space="preserve"> 2013</w:t>
      </w:r>
      <w:r w:rsidR="00BA1A37" w:rsidRPr="007860B5">
        <w:rPr>
          <w:rFonts w:ascii="Times New Roman" w:eastAsia="Times New Roman" w:hAnsi="Times New Roman" w:cs="Times New Roman"/>
          <w:kern w:val="0"/>
          <w:sz w:val="24"/>
          <w:szCs w:val="24"/>
          <w:lang w:val="en-GB" w:eastAsia="ro-MD"/>
          <w14:ligatures w14:val="none"/>
        </w:rPr>
        <w:t>,</w:t>
      </w:r>
      <w:r w:rsidR="003B401F" w:rsidRPr="007860B5">
        <w:rPr>
          <w:rFonts w:ascii="Times New Roman" w:eastAsia="Times New Roman" w:hAnsi="Times New Roman" w:cs="Times New Roman"/>
          <w:kern w:val="0"/>
          <w:sz w:val="24"/>
          <w:szCs w:val="24"/>
          <w:lang w:val="en-GB" w:eastAsia="ro-MD"/>
          <w14:ligatures w14:val="none"/>
        </w:rPr>
        <w:t xml:space="preserve"> </w:t>
      </w:r>
      <w:r w:rsidR="00BA1A37" w:rsidRPr="007860B5">
        <w:rPr>
          <w:rFonts w:ascii="Times New Roman" w:eastAsia="Times New Roman" w:hAnsi="Times New Roman" w:cs="Times New Roman"/>
          <w:kern w:val="0"/>
          <w:sz w:val="24"/>
          <w:szCs w:val="24"/>
          <w:lang w:val="en-GB" w:eastAsia="ro-MD"/>
          <w14:ligatures w14:val="none"/>
        </w:rPr>
        <w:t>on prudential requirements for credit institutions and amending Regulation (EU) No 648/2012</w:t>
      </w:r>
      <w:r w:rsidR="003B401F" w:rsidRPr="007860B5">
        <w:rPr>
          <w:rFonts w:ascii="Times New Roman" w:eastAsia="Times New Roman" w:hAnsi="Times New Roman" w:cs="Times New Roman"/>
          <w:kern w:val="0"/>
          <w:sz w:val="24"/>
          <w:szCs w:val="24"/>
          <w:lang w:val="en-GB" w:eastAsia="ro-MD"/>
          <w14:ligatures w14:val="none"/>
        </w:rPr>
        <w:t xml:space="preserve">, </w:t>
      </w:r>
      <w:r w:rsidR="00BA1A37" w:rsidRPr="007860B5">
        <w:rPr>
          <w:rFonts w:ascii="Times New Roman" w:eastAsia="Times New Roman" w:hAnsi="Times New Roman" w:cs="Times New Roman"/>
          <w:kern w:val="0"/>
          <w:sz w:val="24"/>
          <w:szCs w:val="24"/>
          <w:lang w:val="en-GB" w:eastAsia="ro-MD"/>
          <w14:ligatures w14:val="none"/>
        </w:rPr>
        <w:t>published in the Official Journal of the European Union L 176 of  27 June 2013, CELEX: 32013R0575, as last amended by Regulation (EU) 2024/1623 of the European Parliament and of the Council of 31 May 2024</w:t>
      </w:r>
      <w:r w:rsidR="003B401F" w:rsidRPr="007860B5">
        <w:rPr>
          <w:rFonts w:ascii="Times New Roman" w:eastAsia="Times New Roman" w:hAnsi="Times New Roman" w:cs="Times New Roman"/>
          <w:kern w:val="0"/>
          <w:sz w:val="24"/>
          <w:szCs w:val="24"/>
          <w:lang w:val="en-GB" w:eastAsia="ro-MD"/>
          <w14:ligatures w14:val="none"/>
        </w:rPr>
        <w:t>.</w:t>
      </w:r>
    </w:p>
    <w:bookmarkEnd w:id="1"/>
    <w:p w14:paraId="30D870DB" w14:textId="77777777" w:rsidR="003B401F" w:rsidRPr="007860B5" w:rsidRDefault="003B401F" w:rsidP="00995760">
      <w:pPr>
        <w:spacing w:after="0" w:line="240" w:lineRule="auto"/>
        <w:rPr>
          <w:rFonts w:ascii="Times New Roman" w:eastAsia="Times New Roman" w:hAnsi="Times New Roman" w:cs="Times New Roman"/>
          <w:kern w:val="0"/>
          <w:sz w:val="24"/>
          <w:szCs w:val="24"/>
          <w:lang w:val="en-GB" w:eastAsia="ro-MD"/>
          <w14:ligatures w14:val="none"/>
        </w:rPr>
      </w:pPr>
    </w:p>
    <w:p w14:paraId="56BFC4FA" w14:textId="77777777" w:rsidR="004B5416" w:rsidRPr="007860B5" w:rsidRDefault="004B5416" w:rsidP="004B5416">
      <w:pPr>
        <w:spacing w:after="0" w:line="240" w:lineRule="auto"/>
        <w:rPr>
          <w:rFonts w:ascii="Times New Roman" w:eastAsia="Times New Roman" w:hAnsi="Times New Roman" w:cs="Times New Roman"/>
          <w:b/>
          <w:bCs/>
          <w:kern w:val="0"/>
          <w:sz w:val="24"/>
          <w:szCs w:val="24"/>
          <w:lang w:val="en-GB" w:eastAsia="ro-MD"/>
          <w14:ligatures w14:val="none"/>
        </w:rPr>
      </w:pPr>
    </w:p>
    <w:bookmarkEnd w:id="0"/>
    <w:p w14:paraId="15F49E70" w14:textId="660D32B1" w:rsidR="004B5416" w:rsidRPr="007860B5" w:rsidRDefault="00BA1A37" w:rsidP="004B5416">
      <w:pPr>
        <w:pStyle w:val="ListParagraph"/>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The Regulation on own funds requirements for operational risk is hereby approved (attached).</w:t>
      </w:r>
    </w:p>
    <w:p w14:paraId="6BEDB3FC" w14:textId="33AA88AB" w:rsidR="004B5416" w:rsidRPr="007860B5" w:rsidRDefault="00BA1A37" w:rsidP="0046774C">
      <w:pPr>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Decision No 113/2018 of the Executive Board of the National Bank of Moldova on the approval of the Regulation on the treatment of </w:t>
      </w:r>
      <w:r w:rsidR="000B7E34" w:rsidRPr="007860B5">
        <w:rPr>
          <w:rFonts w:ascii="Times New Roman" w:eastAsia="Times New Roman" w:hAnsi="Times New Roman" w:cs="Times New Roman"/>
          <w:kern w:val="0"/>
          <w:sz w:val="24"/>
          <w:szCs w:val="24"/>
          <w:lang w:val="en-GB" w:eastAsia="ro-MD"/>
          <w14:ligatures w14:val="none"/>
        </w:rPr>
        <w:t xml:space="preserve">banks’ </w:t>
      </w:r>
      <w:r w:rsidRPr="007860B5">
        <w:rPr>
          <w:rFonts w:ascii="Times New Roman" w:eastAsia="Times New Roman" w:hAnsi="Times New Roman" w:cs="Times New Roman"/>
          <w:kern w:val="0"/>
          <w:sz w:val="24"/>
          <w:szCs w:val="24"/>
          <w:lang w:val="en-GB" w:eastAsia="ro-MD"/>
          <w14:ligatures w14:val="none"/>
        </w:rPr>
        <w:t>operational risk for according to the basic approach and the standardised approach (Official Gazette of the Republic of Moldova, 2018, No 183-194, Article 903), registered with the Ministry of Justice of the Republic of Moldova under No 1335/2018, is repealed.</w:t>
      </w:r>
    </w:p>
    <w:p w14:paraId="3E7BE178" w14:textId="1850DD8E" w:rsidR="004B5416" w:rsidRPr="007860B5" w:rsidRDefault="00BA1A37" w:rsidP="004B5416">
      <w:pPr>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The Regulation on the framework for the administration of banking activities, approved by Decision No 322/2018 of the Executive Board of the National Bank of Moldova (Official Gazette of the Republic of Moldova, 2019, No 1-5, Article 56), registered with the Ministry of Justice of the Republic of Moldova under No 1400/2018, is amended as follows:</w:t>
      </w:r>
    </w:p>
    <w:p w14:paraId="3D63FB49" w14:textId="6FD3494D" w:rsidR="00B63BA1" w:rsidRPr="007860B5" w:rsidRDefault="004B5416" w:rsidP="00995760">
      <w:pPr>
        <w:pStyle w:val="ListParagraph"/>
        <w:numPr>
          <w:ilvl w:val="1"/>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 </w:t>
      </w:r>
      <w:r w:rsidR="00BA1A37" w:rsidRPr="007860B5">
        <w:rPr>
          <w:rFonts w:ascii="Times New Roman" w:eastAsia="Times New Roman" w:hAnsi="Times New Roman" w:cs="Times New Roman"/>
          <w:kern w:val="0"/>
          <w:sz w:val="24"/>
          <w:szCs w:val="24"/>
          <w:lang w:val="en-GB" w:eastAsia="ro-MD"/>
          <w14:ligatures w14:val="none"/>
        </w:rPr>
        <w:t>In paragraph 4:</w:t>
      </w:r>
    </w:p>
    <w:p w14:paraId="57DF2259" w14:textId="78AB9E44" w:rsidR="00454881" w:rsidRPr="007860B5" w:rsidRDefault="00597B40"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information and communications technology risk (ICT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shall have the following meaning: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information and communications technology risk (ICT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means the risk of loss associated with any circumstance that can be reasonably identified in connection with the use of computer networks and systems which, if it materiali</w:t>
      </w:r>
      <w:r w:rsidR="00DF08EE" w:rsidRPr="007860B5">
        <w:rPr>
          <w:rFonts w:ascii="Times New Roman" w:eastAsia="Times New Roman" w:hAnsi="Times New Roman" w:cs="Times New Roman"/>
          <w:kern w:val="0"/>
          <w:sz w:val="24"/>
          <w:szCs w:val="24"/>
          <w:lang w:val="en-GB" w:eastAsia="ro-MD"/>
          <w14:ligatures w14:val="none"/>
        </w:rPr>
        <w:t>s</w:t>
      </w:r>
      <w:r w:rsidRPr="007860B5">
        <w:rPr>
          <w:rFonts w:ascii="Times New Roman" w:eastAsia="Times New Roman" w:hAnsi="Times New Roman" w:cs="Times New Roman"/>
          <w:kern w:val="0"/>
          <w:sz w:val="24"/>
          <w:szCs w:val="24"/>
          <w:lang w:val="en-GB" w:eastAsia="ro-MD"/>
          <w14:ligatures w14:val="none"/>
        </w:rPr>
        <w:t>es, could compromise the security of computer networks and systems, of any technology-dependent tool or process, operations and processes, or service delivery by producing adverse effects in the digital or physical environment;</w:t>
      </w:r>
    </w:p>
    <w:p w14:paraId="04C1651D" w14:textId="4673482F" w:rsidR="00263E29" w:rsidRPr="007860B5" w:rsidRDefault="00597B40"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in 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compliance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the words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operational risk sub-category that refers to</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are </w:t>
      </w:r>
      <w:proofErr w:type="gramStart"/>
      <w:r w:rsidR="00DF08EE" w:rsidRPr="007860B5">
        <w:rPr>
          <w:rFonts w:ascii="Times New Roman" w:eastAsia="Times New Roman" w:hAnsi="Times New Roman" w:cs="Times New Roman"/>
          <w:kern w:val="0"/>
          <w:sz w:val="24"/>
          <w:szCs w:val="24"/>
          <w:lang w:val="en-GB" w:eastAsia="ro-MD"/>
          <w14:ligatures w14:val="none"/>
        </w:rPr>
        <w:t>excluded</w:t>
      </w:r>
      <w:r w:rsidRPr="007860B5">
        <w:rPr>
          <w:rFonts w:ascii="Times New Roman" w:eastAsia="Times New Roman" w:hAnsi="Times New Roman" w:cs="Times New Roman"/>
          <w:kern w:val="0"/>
          <w:sz w:val="24"/>
          <w:szCs w:val="24"/>
          <w:lang w:val="en-GB" w:eastAsia="ro-MD"/>
          <w14:ligatures w14:val="none"/>
        </w:rPr>
        <w:t>;</w:t>
      </w:r>
      <w:proofErr w:type="gramEnd"/>
    </w:p>
    <w:p w14:paraId="7EFD625E" w14:textId="17AD88AA" w:rsidR="00AE4E97" w:rsidRPr="007860B5" w:rsidRDefault="00DF08EE" w:rsidP="00995760">
      <w:pPr>
        <w:pStyle w:val="ListParagraph"/>
        <w:numPr>
          <w:ilvl w:val="2"/>
          <w:numId w:val="1"/>
        </w:numPr>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after 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financing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legal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shall be </w:t>
      </w:r>
      <w:r w:rsidR="00B72A24" w:rsidRPr="007860B5">
        <w:rPr>
          <w:rFonts w:ascii="Times New Roman" w:eastAsia="Times New Roman" w:hAnsi="Times New Roman" w:cs="Times New Roman"/>
          <w:kern w:val="0"/>
          <w:sz w:val="24"/>
          <w:szCs w:val="24"/>
          <w:lang w:val="en-GB" w:eastAsia="ro-MD"/>
          <w14:ligatures w14:val="none"/>
        </w:rPr>
        <w:t>added</w:t>
      </w:r>
      <w:r w:rsidRPr="007860B5">
        <w:rPr>
          <w:rFonts w:ascii="Times New Roman" w:eastAsia="Times New Roman" w:hAnsi="Times New Roman" w:cs="Times New Roman"/>
          <w:kern w:val="0"/>
          <w:sz w:val="24"/>
          <w:szCs w:val="24"/>
          <w:lang w:val="en-GB" w:eastAsia="ro-MD"/>
          <w14:ligatures w14:val="none"/>
        </w:rPr>
        <w:t xml:space="preserve"> with the following content: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legal risk means the risk of loss, including expenses, fines, penalties, or </w:t>
      </w:r>
      <w:r w:rsidRPr="007860B5">
        <w:rPr>
          <w:rFonts w:ascii="Times New Roman" w:eastAsia="Times New Roman" w:hAnsi="Times New Roman" w:cs="Times New Roman"/>
          <w:kern w:val="0"/>
          <w:sz w:val="24"/>
          <w:szCs w:val="24"/>
          <w:lang w:val="en-GB" w:eastAsia="ro-MD"/>
          <w14:ligatures w14:val="none"/>
        </w:rPr>
        <w:lastRenderedPageBreak/>
        <w:t xml:space="preserve">punitive damages that a bank may incur </w:t>
      </w:r>
      <w:proofErr w:type="gramStart"/>
      <w:r w:rsidRPr="007860B5">
        <w:rPr>
          <w:rFonts w:ascii="Times New Roman" w:eastAsia="Times New Roman" w:hAnsi="Times New Roman" w:cs="Times New Roman"/>
          <w:kern w:val="0"/>
          <w:sz w:val="24"/>
          <w:szCs w:val="24"/>
          <w:lang w:val="en-GB" w:eastAsia="ro-MD"/>
          <w14:ligatures w14:val="none"/>
        </w:rPr>
        <w:t>as a result of</w:t>
      </w:r>
      <w:proofErr w:type="gramEnd"/>
      <w:r w:rsidRPr="007860B5">
        <w:rPr>
          <w:rFonts w:ascii="Times New Roman" w:eastAsia="Times New Roman" w:hAnsi="Times New Roman" w:cs="Times New Roman"/>
          <w:kern w:val="0"/>
          <w:sz w:val="24"/>
          <w:szCs w:val="24"/>
          <w:lang w:val="en-GB" w:eastAsia="ro-MD"/>
          <w14:ligatures w14:val="none"/>
        </w:rPr>
        <w:t xml:space="preserve"> events leading to legal proceedings, including the following</w:t>
      </w:r>
      <w:r w:rsidR="00AE4E97" w:rsidRPr="007860B5">
        <w:rPr>
          <w:rFonts w:ascii="Times New Roman" w:eastAsia="Times New Roman" w:hAnsi="Times New Roman" w:cs="Times New Roman"/>
          <w:bCs/>
          <w:kern w:val="0"/>
          <w:sz w:val="24"/>
          <w:szCs w:val="24"/>
          <w:lang w:val="en-GB" w:eastAsia="ro-MD"/>
          <w14:ligatures w14:val="none"/>
        </w:rPr>
        <w:t>:</w:t>
      </w:r>
    </w:p>
    <w:p w14:paraId="59B3BA8A" w14:textId="4A73C722"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a) </w:t>
      </w:r>
      <w:r w:rsidR="00DF08EE" w:rsidRPr="007860B5">
        <w:rPr>
          <w:rFonts w:ascii="Times New Roman" w:eastAsia="Times New Roman" w:hAnsi="Times New Roman" w:cs="Times New Roman"/>
          <w:bCs/>
          <w:kern w:val="0"/>
          <w:sz w:val="24"/>
          <w:szCs w:val="24"/>
          <w:lang w:val="en-GB" w:eastAsia="ro-MD"/>
          <w14:ligatures w14:val="none"/>
        </w:rPr>
        <w:t xml:space="preserve">supervisory actions and out-of-court </w:t>
      </w:r>
      <w:proofErr w:type="gramStart"/>
      <w:r w:rsidR="00DF08EE" w:rsidRPr="007860B5">
        <w:rPr>
          <w:rFonts w:ascii="Times New Roman" w:eastAsia="Times New Roman" w:hAnsi="Times New Roman" w:cs="Times New Roman"/>
          <w:bCs/>
          <w:kern w:val="0"/>
          <w:sz w:val="24"/>
          <w:szCs w:val="24"/>
          <w:lang w:val="en-GB" w:eastAsia="ro-MD"/>
          <w14:ligatures w14:val="none"/>
        </w:rPr>
        <w:t>settlements</w:t>
      </w:r>
      <w:r w:rsidRPr="007860B5">
        <w:rPr>
          <w:rFonts w:ascii="Times New Roman" w:eastAsia="Times New Roman" w:hAnsi="Times New Roman" w:cs="Times New Roman"/>
          <w:bCs/>
          <w:kern w:val="0"/>
          <w:sz w:val="24"/>
          <w:szCs w:val="24"/>
          <w:lang w:val="en-GB" w:eastAsia="ro-MD"/>
          <w14:ligatures w14:val="none"/>
        </w:rPr>
        <w:t>;</w:t>
      </w:r>
      <w:proofErr w:type="gramEnd"/>
    </w:p>
    <w:p w14:paraId="5F082CDA" w14:textId="5666B18E"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b) </w:t>
      </w:r>
      <w:r w:rsidR="00DF08EE" w:rsidRPr="007860B5">
        <w:rPr>
          <w:rFonts w:ascii="Times New Roman" w:eastAsia="Times New Roman" w:hAnsi="Times New Roman" w:cs="Times New Roman"/>
          <w:bCs/>
          <w:kern w:val="0"/>
          <w:sz w:val="24"/>
          <w:szCs w:val="24"/>
          <w:lang w:val="en-GB" w:eastAsia="ro-MD"/>
          <w14:ligatures w14:val="none"/>
        </w:rPr>
        <w:t xml:space="preserve">failure to </w:t>
      </w:r>
      <w:proofErr w:type="gramStart"/>
      <w:r w:rsidR="00DF08EE" w:rsidRPr="007860B5">
        <w:rPr>
          <w:rFonts w:ascii="Times New Roman" w:eastAsia="Times New Roman" w:hAnsi="Times New Roman" w:cs="Times New Roman"/>
          <w:bCs/>
          <w:kern w:val="0"/>
          <w:sz w:val="24"/>
          <w:szCs w:val="24"/>
          <w:lang w:val="en-GB" w:eastAsia="ro-MD"/>
          <w14:ligatures w14:val="none"/>
        </w:rPr>
        <w:t>take action</w:t>
      </w:r>
      <w:proofErr w:type="gramEnd"/>
      <w:r w:rsidR="00DF08EE" w:rsidRPr="007860B5">
        <w:rPr>
          <w:rFonts w:ascii="Times New Roman" w:eastAsia="Times New Roman" w:hAnsi="Times New Roman" w:cs="Times New Roman"/>
          <w:bCs/>
          <w:kern w:val="0"/>
          <w:sz w:val="24"/>
          <w:szCs w:val="24"/>
          <w:lang w:val="en-GB" w:eastAsia="ro-MD"/>
          <w14:ligatures w14:val="none"/>
        </w:rPr>
        <w:t xml:space="preserve"> when such action is necessary to comply with a legal </w:t>
      </w:r>
      <w:proofErr w:type="gramStart"/>
      <w:r w:rsidR="00DF08EE" w:rsidRPr="007860B5">
        <w:rPr>
          <w:rFonts w:ascii="Times New Roman" w:eastAsia="Times New Roman" w:hAnsi="Times New Roman" w:cs="Times New Roman"/>
          <w:bCs/>
          <w:kern w:val="0"/>
          <w:sz w:val="24"/>
          <w:szCs w:val="24"/>
          <w:lang w:val="en-GB" w:eastAsia="ro-MD"/>
          <w14:ligatures w14:val="none"/>
        </w:rPr>
        <w:t>obligation</w:t>
      </w:r>
      <w:r w:rsidRPr="007860B5">
        <w:rPr>
          <w:rFonts w:ascii="Times New Roman" w:eastAsia="Times New Roman" w:hAnsi="Times New Roman" w:cs="Times New Roman"/>
          <w:bCs/>
          <w:kern w:val="0"/>
          <w:sz w:val="24"/>
          <w:szCs w:val="24"/>
          <w:lang w:val="en-GB" w:eastAsia="ro-MD"/>
          <w14:ligatures w14:val="none"/>
        </w:rPr>
        <w:t>;</w:t>
      </w:r>
      <w:proofErr w:type="gramEnd"/>
    </w:p>
    <w:p w14:paraId="57AD968A" w14:textId="003E80A4"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c) </w:t>
      </w:r>
      <w:r w:rsidR="00DF08EE" w:rsidRPr="007860B5">
        <w:rPr>
          <w:rFonts w:ascii="Times New Roman" w:eastAsia="Times New Roman" w:hAnsi="Times New Roman" w:cs="Times New Roman"/>
          <w:bCs/>
          <w:kern w:val="0"/>
          <w:sz w:val="24"/>
          <w:szCs w:val="24"/>
          <w:lang w:val="en-GB" w:eastAsia="ro-MD"/>
          <w14:ligatures w14:val="none"/>
        </w:rPr>
        <w:t xml:space="preserve">actions taken to avoid compliance with a legal </w:t>
      </w:r>
      <w:proofErr w:type="gramStart"/>
      <w:r w:rsidR="00DF08EE" w:rsidRPr="007860B5">
        <w:rPr>
          <w:rFonts w:ascii="Times New Roman" w:eastAsia="Times New Roman" w:hAnsi="Times New Roman" w:cs="Times New Roman"/>
          <w:bCs/>
          <w:kern w:val="0"/>
          <w:sz w:val="24"/>
          <w:szCs w:val="24"/>
          <w:lang w:val="en-GB" w:eastAsia="ro-MD"/>
          <w14:ligatures w14:val="none"/>
        </w:rPr>
        <w:t>obligation</w:t>
      </w:r>
      <w:r w:rsidRPr="007860B5">
        <w:rPr>
          <w:rFonts w:ascii="Times New Roman" w:eastAsia="Times New Roman" w:hAnsi="Times New Roman" w:cs="Times New Roman"/>
          <w:bCs/>
          <w:kern w:val="0"/>
          <w:sz w:val="24"/>
          <w:szCs w:val="24"/>
          <w:lang w:val="en-GB" w:eastAsia="ro-MD"/>
          <w14:ligatures w14:val="none"/>
        </w:rPr>
        <w:t>;</w:t>
      </w:r>
      <w:proofErr w:type="gramEnd"/>
    </w:p>
    <w:p w14:paraId="397502D3" w14:textId="6933B033"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d) </w:t>
      </w:r>
      <w:r w:rsidR="00D519A4" w:rsidRPr="007860B5">
        <w:rPr>
          <w:rFonts w:ascii="Times New Roman" w:eastAsia="Times New Roman" w:hAnsi="Times New Roman" w:cs="Times New Roman"/>
          <w:bCs/>
          <w:kern w:val="0"/>
          <w:sz w:val="24"/>
          <w:szCs w:val="24"/>
          <w:lang w:val="en-GB" w:eastAsia="ro-MD"/>
          <w14:ligatures w14:val="none"/>
        </w:rPr>
        <w:t xml:space="preserve">events related to misconduct, which are events resulting from intentional or negligent misconduct, including the improper provision of financial services or the provision of inadequate or misleading information regarding the financial risk of products sold by the </w:t>
      </w:r>
      <w:proofErr w:type="gramStart"/>
      <w:r w:rsidR="00D519A4" w:rsidRPr="007860B5">
        <w:rPr>
          <w:rFonts w:ascii="Times New Roman" w:eastAsia="Times New Roman" w:hAnsi="Times New Roman" w:cs="Times New Roman"/>
          <w:bCs/>
          <w:kern w:val="0"/>
          <w:sz w:val="24"/>
          <w:szCs w:val="24"/>
          <w:lang w:val="en-GB" w:eastAsia="ro-MD"/>
          <w14:ligatures w14:val="none"/>
        </w:rPr>
        <w:t>bank</w:t>
      </w:r>
      <w:r w:rsidRPr="007860B5">
        <w:rPr>
          <w:rFonts w:ascii="Times New Roman" w:eastAsia="Times New Roman" w:hAnsi="Times New Roman" w:cs="Times New Roman"/>
          <w:bCs/>
          <w:kern w:val="0"/>
          <w:sz w:val="24"/>
          <w:szCs w:val="24"/>
          <w:lang w:val="en-GB" w:eastAsia="ro-MD"/>
          <w14:ligatures w14:val="none"/>
        </w:rPr>
        <w:t>;</w:t>
      </w:r>
      <w:proofErr w:type="gramEnd"/>
    </w:p>
    <w:p w14:paraId="58FA388F" w14:textId="3B38BE93"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e) </w:t>
      </w:r>
      <w:r w:rsidR="00D519A4" w:rsidRPr="007860B5">
        <w:rPr>
          <w:rFonts w:ascii="Times New Roman" w:eastAsia="Times New Roman" w:hAnsi="Times New Roman" w:cs="Times New Roman"/>
          <w:bCs/>
          <w:kern w:val="0"/>
          <w:sz w:val="24"/>
          <w:szCs w:val="24"/>
          <w:lang w:val="en-GB" w:eastAsia="ro-MD"/>
          <w14:ligatures w14:val="none"/>
        </w:rPr>
        <w:t xml:space="preserve">failure to comply with any requirement derived from national or international statutory or legislative </w:t>
      </w:r>
      <w:proofErr w:type="gramStart"/>
      <w:r w:rsidR="00D519A4" w:rsidRPr="007860B5">
        <w:rPr>
          <w:rFonts w:ascii="Times New Roman" w:eastAsia="Times New Roman" w:hAnsi="Times New Roman" w:cs="Times New Roman"/>
          <w:bCs/>
          <w:kern w:val="0"/>
          <w:sz w:val="24"/>
          <w:szCs w:val="24"/>
          <w:lang w:val="en-GB" w:eastAsia="ro-MD"/>
          <w14:ligatures w14:val="none"/>
        </w:rPr>
        <w:t>provisions</w:t>
      </w:r>
      <w:r w:rsidRPr="007860B5">
        <w:rPr>
          <w:rFonts w:ascii="Times New Roman" w:eastAsia="Times New Roman" w:hAnsi="Times New Roman" w:cs="Times New Roman"/>
          <w:bCs/>
          <w:kern w:val="0"/>
          <w:sz w:val="24"/>
          <w:szCs w:val="24"/>
          <w:lang w:val="en-GB" w:eastAsia="ro-MD"/>
          <w14:ligatures w14:val="none"/>
        </w:rPr>
        <w:t>;</w:t>
      </w:r>
      <w:proofErr w:type="gramEnd"/>
    </w:p>
    <w:p w14:paraId="1258B2F9" w14:textId="45337A5B" w:rsidR="00AE4E97" w:rsidRPr="007860B5" w:rsidRDefault="00AE4E97" w:rsidP="00995760">
      <w:pPr>
        <w:pStyle w:val="ListParagraph"/>
        <w:spacing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f) </w:t>
      </w:r>
      <w:r w:rsidR="00D519A4" w:rsidRPr="007860B5">
        <w:rPr>
          <w:rFonts w:ascii="Times New Roman" w:eastAsia="Times New Roman" w:hAnsi="Times New Roman" w:cs="Times New Roman"/>
          <w:bCs/>
          <w:kern w:val="0"/>
          <w:sz w:val="24"/>
          <w:szCs w:val="24"/>
          <w:lang w:val="en-GB" w:eastAsia="ro-MD"/>
          <w14:ligatures w14:val="none"/>
        </w:rPr>
        <w:t xml:space="preserve">failure to comply with any requirement derived from contractual agreements or internal rules and codes of conduct established in accordance with national or international rules and </w:t>
      </w:r>
      <w:proofErr w:type="gramStart"/>
      <w:r w:rsidR="00D519A4" w:rsidRPr="007860B5">
        <w:rPr>
          <w:rFonts w:ascii="Times New Roman" w:eastAsia="Times New Roman" w:hAnsi="Times New Roman" w:cs="Times New Roman"/>
          <w:bCs/>
          <w:kern w:val="0"/>
          <w:sz w:val="24"/>
          <w:szCs w:val="24"/>
          <w:lang w:val="en-GB" w:eastAsia="ro-MD"/>
          <w14:ligatures w14:val="none"/>
        </w:rPr>
        <w:t>practices</w:t>
      </w:r>
      <w:r w:rsidRPr="007860B5">
        <w:rPr>
          <w:rFonts w:ascii="Times New Roman" w:eastAsia="Times New Roman" w:hAnsi="Times New Roman" w:cs="Times New Roman"/>
          <w:bCs/>
          <w:kern w:val="0"/>
          <w:sz w:val="24"/>
          <w:szCs w:val="24"/>
          <w:lang w:val="en-GB" w:eastAsia="ro-MD"/>
          <w14:ligatures w14:val="none"/>
        </w:rPr>
        <w:t>;</w:t>
      </w:r>
      <w:proofErr w:type="gramEnd"/>
    </w:p>
    <w:p w14:paraId="6A5396A2" w14:textId="4D5296AC" w:rsidR="00AE4E97" w:rsidRPr="007860B5" w:rsidRDefault="00AE4E97" w:rsidP="00995760">
      <w:pPr>
        <w:pStyle w:val="ListParagraph"/>
        <w:spacing w:after="0" w:line="240" w:lineRule="auto"/>
        <w:ind w:left="0" w:firstLine="567"/>
        <w:rPr>
          <w:rFonts w:ascii="Times New Roman" w:eastAsia="Times New Roman" w:hAnsi="Times New Roman" w:cs="Times New Roman"/>
          <w:bCs/>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 xml:space="preserve">g) </w:t>
      </w:r>
      <w:r w:rsidR="00D519A4" w:rsidRPr="007860B5">
        <w:rPr>
          <w:rFonts w:ascii="Times New Roman" w:eastAsia="Times New Roman" w:hAnsi="Times New Roman" w:cs="Times New Roman"/>
          <w:bCs/>
          <w:kern w:val="0"/>
          <w:sz w:val="24"/>
          <w:szCs w:val="24"/>
          <w:lang w:val="en-GB" w:eastAsia="ro-MD"/>
          <w14:ligatures w14:val="none"/>
        </w:rPr>
        <w:t>failure to comply with ethical standards</w:t>
      </w:r>
      <w:r w:rsidRPr="007860B5">
        <w:rPr>
          <w:rFonts w:ascii="Times New Roman" w:eastAsia="Times New Roman" w:hAnsi="Times New Roman" w:cs="Times New Roman"/>
          <w:bCs/>
          <w:kern w:val="0"/>
          <w:sz w:val="24"/>
          <w:szCs w:val="24"/>
          <w:lang w:val="en-GB" w:eastAsia="ro-MD"/>
          <w14:ligatures w14:val="none"/>
        </w:rPr>
        <w:t>.</w:t>
      </w:r>
    </w:p>
    <w:p w14:paraId="114AC973" w14:textId="1E96612E" w:rsidR="00AE4E97" w:rsidRPr="007860B5" w:rsidRDefault="00D519A4"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bCs/>
          <w:kern w:val="0"/>
          <w:sz w:val="24"/>
          <w:szCs w:val="24"/>
          <w:lang w:val="en-GB" w:eastAsia="ro-MD"/>
          <w14:ligatures w14:val="none"/>
        </w:rPr>
        <w:t>Legal risk does not include reimbursements to third parties or employees and compensation resulting from business opportunities where no rules or ethical standards have been breached and the bank has fulfilled its obligations in a timely manner. Legal risk does not include external legal costs if the event generating those external costs is not an operational risk event.</w:t>
      </w:r>
      <w:proofErr w:type="gramStart"/>
      <w:r w:rsidR="00AE4E97" w:rsidRPr="007860B5">
        <w:rPr>
          <w:rFonts w:ascii="Times New Roman" w:eastAsia="Times New Roman" w:hAnsi="Times New Roman" w:cs="Times New Roman"/>
          <w:bCs/>
          <w:kern w:val="0"/>
          <w:sz w:val="24"/>
          <w:szCs w:val="24"/>
          <w:lang w:val="en-GB" w:eastAsia="ro-MD"/>
          <w14:ligatures w14:val="none"/>
        </w:rPr>
        <w:t>”</w:t>
      </w:r>
      <w:r w:rsidR="00141670" w:rsidRPr="007860B5">
        <w:rPr>
          <w:rFonts w:ascii="Times New Roman" w:eastAsia="Times New Roman" w:hAnsi="Times New Roman" w:cs="Times New Roman"/>
          <w:bCs/>
          <w:kern w:val="0"/>
          <w:sz w:val="24"/>
          <w:szCs w:val="24"/>
          <w:lang w:val="en-GB" w:eastAsia="ro-MD"/>
          <w14:ligatures w14:val="none"/>
        </w:rPr>
        <w:t>;</w:t>
      </w:r>
      <w:proofErr w:type="gramEnd"/>
    </w:p>
    <w:p w14:paraId="6BB76949" w14:textId="76B877EC" w:rsidR="00B63BA1" w:rsidRPr="007860B5" w:rsidRDefault="00D519A4"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after 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liquidity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model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is </w:t>
      </w:r>
      <w:r w:rsidR="00425FBF" w:rsidRPr="007860B5">
        <w:rPr>
          <w:rFonts w:ascii="Times New Roman" w:eastAsia="Times New Roman" w:hAnsi="Times New Roman" w:cs="Times New Roman"/>
          <w:kern w:val="0"/>
          <w:sz w:val="24"/>
          <w:szCs w:val="24"/>
          <w:lang w:val="en-GB" w:eastAsia="ro-MD"/>
          <w14:ligatures w14:val="none"/>
        </w:rPr>
        <w:t>added</w:t>
      </w:r>
      <w:r w:rsidRPr="007860B5">
        <w:rPr>
          <w:rFonts w:ascii="Times New Roman" w:eastAsia="Times New Roman" w:hAnsi="Times New Roman" w:cs="Times New Roman"/>
          <w:kern w:val="0"/>
          <w:sz w:val="24"/>
          <w:szCs w:val="24"/>
          <w:lang w:val="en-GB" w:eastAsia="ro-MD"/>
          <w14:ligatures w14:val="none"/>
        </w:rPr>
        <w:t xml:space="preserve"> with the following content: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model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means the risk of loss that arises from decisions based primarily on the output of internal models due to errors in the design, development, estimation of parameters, implementation, or use or monitoring of such models, including due to the following</w:t>
      </w:r>
      <w:r w:rsidR="00B63BA1" w:rsidRPr="007860B5">
        <w:rPr>
          <w:rFonts w:ascii="Times New Roman" w:eastAsia="Times New Roman" w:hAnsi="Times New Roman" w:cs="Times New Roman"/>
          <w:kern w:val="0"/>
          <w:sz w:val="24"/>
          <w:szCs w:val="24"/>
          <w:lang w:val="en-GB" w:eastAsia="ro-MD"/>
          <w14:ligatures w14:val="none"/>
        </w:rPr>
        <w:t xml:space="preserve">: </w:t>
      </w:r>
    </w:p>
    <w:p w14:paraId="764F13C5" w14:textId="4652FF08"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a) </w:t>
      </w:r>
      <w:r w:rsidR="00D519A4" w:rsidRPr="007860B5">
        <w:rPr>
          <w:rFonts w:ascii="Times New Roman" w:eastAsia="Times New Roman" w:hAnsi="Times New Roman" w:cs="Times New Roman"/>
          <w:kern w:val="0"/>
          <w:sz w:val="24"/>
          <w:szCs w:val="24"/>
          <w:lang w:val="en-GB" w:eastAsia="ro-MD"/>
          <w14:ligatures w14:val="none"/>
        </w:rPr>
        <w:t xml:space="preserve">inadequate design of the chosen internal model and its </w:t>
      </w:r>
      <w:proofErr w:type="gramStart"/>
      <w:r w:rsidR="00D519A4" w:rsidRPr="007860B5">
        <w:rPr>
          <w:rFonts w:ascii="Times New Roman" w:eastAsia="Times New Roman" w:hAnsi="Times New Roman" w:cs="Times New Roman"/>
          <w:kern w:val="0"/>
          <w:sz w:val="24"/>
          <w:szCs w:val="24"/>
          <w:lang w:val="en-GB" w:eastAsia="ro-MD"/>
          <w14:ligatures w14:val="none"/>
        </w:rPr>
        <w:t>characteristics</w:t>
      </w:r>
      <w:r w:rsidRPr="007860B5">
        <w:rPr>
          <w:rFonts w:ascii="Times New Roman" w:eastAsia="Times New Roman" w:hAnsi="Times New Roman" w:cs="Times New Roman"/>
          <w:kern w:val="0"/>
          <w:sz w:val="24"/>
          <w:szCs w:val="24"/>
          <w:lang w:val="en-GB" w:eastAsia="ro-MD"/>
          <w14:ligatures w14:val="none"/>
        </w:rPr>
        <w:t>;</w:t>
      </w:r>
      <w:proofErr w:type="gramEnd"/>
      <w:r w:rsidRPr="007860B5">
        <w:rPr>
          <w:rFonts w:ascii="Times New Roman" w:eastAsia="Times New Roman" w:hAnsi="Times New Roman" w:cs="Times New Roman"/>
          <w:kern w:val="0"/>
          <w:sz w:val="24"/>
          <w:szCs w:val="24"/>
          <w:lang w:val="en-GB" w:eastAsia="ro-MD"/>
          <w14:ligatures w14:val="none"/>
        </w:rPr>
        <w:t xml:space="preserve"> </w:t>
      </w:r>
    </w:p>
    <w:p w14:paraId="52B66F51" w14:textId="7F8699A7"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b) </w:t>
      </w:r>
      <w:r w:rsidR="005D7ABB" w:rsidRPr="007860B5">
        <w:rPr>
          <w:rFonts w:ascii="Times New Roman" w:eastAsia="Times New Roman" w:hAnsi="Times New Roman" w:cs="Times New Roman"/>
          <w:kern w:val="0"/>
          <w:sz w:val="24"/>
          <w:szCs w:val="24"/>
          <w:lang w:val="en-GB" w:eastAsia="ro-MD"/>
          <w14:ligatures w14:val="none"/>
        </w:rPr>
        <w:t xml:space="preserve">inadequate verification of the appropriateness of the chosen internal model in relation to the financial instrument to be valued or the product to be priced, or of the appropriateness of the chosen internal model for the applicable market </w:t>
      </w:r>
      <w:proofErr w:type="gramStart"/>
      <w:r w:rsidR="005D7ABB" w:rsidRPr="007860B5">
        <w:rPr>
          <w:rFonts w:ascii="Times New Roman" w:eastAsia="Times New Roman" w:hAnsi="Times New Roman" w:cs="Times New Roman"/>
          <w:kern w:val="0"/>
          <w:sz w:val="24"/>
          <w:szCs w:val="24"/>
          <w:lang w:val="en-GB" w:eastAsia="ro-MD"/>
          <w14:ligatures w14:val="none"/>
        </w:rPr>
        <w:t>conditions</w:t>
      </w:r>
      <w:r w:rsidRPr="007860B5">
        <w:rPr>
          <w:rFonts w:ascii="Times New Roman" w:eastAsia="Times New Roman" w:hAnsi="Times New Roman" w:cs="Times New Roman"/>
          <w:kern w:val="0"/>
          <w:sz w:val="24"/>
          <w:szCs w:val="24"/>
          <w:lang w:val="en-GB" w:eastAsia="ro-MD"/>
          <w14:ligatures w14:val="none"/>
        </w:rPr>
        <w:t>;</w:t>
      </w:r>
      <w:proofErr w:type="gramEnd"/>
      <w:r w:rsidRPr="007860B5">
        <w:rPr>
          <w:rFonts w:ascii="Times New Roman" w:eastAsia="Times New Roman" w:hAnsi="Times New Roman" w:cs="Times New Roman"/>
          <w:kern w:val="0"/>
          <w:sz w:val="24"/>
          <w:szCs w:val="24"/>
          <w:lang w:val="en-GB" w:eastAsia="ro-MD"/>
          <w14:ligatures w14:val="none"/>
        </w:rPr>
        <w:t xml:space="preserve"> </w:t>
      </w:r>
    </w:p>
    <w:p w14:paraId="3BD94EEB" w14:textId="654849E3"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c) </w:t>
      </w:r>
      <w:r w:rsidR="005D7ABB" w:rsidRPr="007860B5">
        <w:rPr>
          <w:rFonts w:ascii="Times New Roman" w:eastAsia="Times New Roman" w:hAnsi="Times New Roman" w:cs="Times New Roman"/>
          <w:kern w:val="0"/>
          <w:sz w:val="24"/>
          <w:szCs w:val="24"/>
          <w:lang w:val="en-GB" w:eastAsia="ro-MD"/>
          <w14:ligatures w14:val="none"/>
        </w:rPr>
        <w:t xml:space="preserve">errors in the implementation of the chosen internal </w:t>
      </w:r>
      <w:proofErr w:type="gramStart"/>
      <w:r w:rsidR="005D7ABB" w:rsidRPr="007860B5">
        <w:rPr>
          <w:rFonts w:ascii="Times New Roman" w:eastAsia="Times New Roman" w:hAnsi="Times New Roman" w:cs="Times New Roman"/>
          <w:kern w:val="0"/>
          <w:sz w:val="24"/>
          <w:szCs w:val="24"/>
          <w:lang w:val="en-GB" w:eastAsia="ro-MD"/>
          <w14:ligatures w14:val="none"/>
        </w:rPr>
        <w:t>model</w:t>
      </w:r>
      <w:r w:rsidRPr="007860B5">
        <w:rPr>
          <w:rFonts w:ascii="Times New Roman" w:eastAsia="Times New Roman" w:hAnsi="Times New Roman" w:cs="Times New Roman"/>
          <w:kern w:val="0"/>
          <w:sz w:val="24"/>
          <w:szCs w:val="24"/>
          <w:lang w:val="en-GB" w:eastAsia="ro-MD"/>
          <w14:ligatures w14:val="none"/>
        </w:rPr>
        <w:t>;</w:t>
      </w:r>
      <w:proofErr w:type="gramEnd"/>
      <w:r w:rsidRPr="007860B5">
        <w:rPr>
          <w:rFonts w:ascii="Times New Roman" w:eastAsia="Times New Roman" w:hAnsi="Times New Roman" w:cs="Times New Roman"/>
          <w:kern w:val="0"/>
          <w:sz w:val="24"/>
          <w:szCs w:val="24"/>
          <w:lang w:val="en-GB" w:eastAsia="ro-MD"/>
          <w14:ligatures w14:val="none"/>
        </w:rPr>
        <w:t xml:space="preserve"> </w:t>
      </w:r>
    </w:p>
    <w:p w14:paraId="1AB554B5" w14:textId="20B3E04B"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d) </w:t>
      </w:r>
      <w:r w:rsidR="005D7ABB" w:rsidRPr="007860B5">
        <w:rPr>
          <w:rFonts w:ascii="Times New Roman" w:eastAsia="Times New Roman" w:hAnsi="Times New Roman" w:cs="Times New Roman"/>
          <w:kern w:val="0"/>
          <w:sz w:val="24"/>
          <w:szCs w:val="24"/>
          <w:lang w:val="en-GB" w:eastAsia="ro-MD"/>
          <w14:ligatures w14:val="none"/>
        </w:rPr>
        <w:t xml:space="preserve">incorrect market price valuations and incorrect risk measurement </w:t>
      </w:r>
      <w:proofErr w:type="gramStart"/>
      <w:r w:rsidR="005D7ABB" w:rsidRPr="007860B5">
        <w:rPr>
          <w:rFonts w:ascii="Times New Roman" w:eastAsia="Times New Roman" w:hAnsi="Times New Roman" w:cs="Times New Roman"/>
          <w:kern w:val="0"/>
          <w:sz w:val="24"/>
          <w:szCs w:val="24"/>
          <w:lang w:val="en-GB" w:eastAsia="ro-MD"/>
          <w14:ligatures w14:val="none"/>
        </w:rPr>
        <w:t>as a result of</w:t>
      </w:r>
      <w:proofErr w:type="gramEnd"/>
      <w:r w:rsidR="005D7ABB" w:rsidRPr="007860B5">
        <w:rPr>
          <w:rFonts w:ascii="Times New Roman" w:eastAsia="Times New Roman" w:hAnsi="Times New Roman" w:cs="Times New Roman"/>
          <w:kern w:val="0"/>
          <w:sz w:val="24"/>
          <w:szCs w:val="24"/>
          <w:lang w:val="en-GB" w:eastAsia="ro-MD"/>
          <w14:ligatures w14:val="none"/>
        </w:rPr>
        <w:t xml:space="preserve"> an error when recording a transaction in the trading </w:t>
      </w:r>
      <w:proofErr w:type="gramStart"/>
      <w:r w:rsidR="005D7ABB" w:rsidRPr="007860B5">
        <w:rPr>
          <w:rFonts w:ascii="Times New Roman" w:eastAsia="Times New Roman" w:hAnsi="Times New Roman" w:cs="Times New Roman"/>
          <w:kern w:val="0"/>
          <w:sz w:val="24"/>
          <w:szCs w:val="24"/>
          <w:lang w:val="en-GB" w:eastAsia="ro-MD"/>
          <w14:ligatures w14:val="none"/>
        </w:rPr>
        <w:t>system</w:t>
      </w:r>
      <w:r w:rsidRPr="007860B5">
        <w:rPr>
          <w:rFonts w:ascii="Times New Roman" w:eastAsia="Times New Roman" w:hAnsi="Times New Roman" w:cs="Times New Roman"/>
          <w:kern w:val="0"/>
          <w:sz w:val="24"/>
          <w:szCs w:val="24"/>
          <w:lang w:val="en-GB" w:eastAsia="ro-MD"/>
          <w14:ligatures w14:val="none"/>
        </w:rPr>
        <w:t>;</w:t>
      </w:r>
      <w:proofErr w:type="gramEnd"/>
      <w:r w:rsidRPr="007860B5">
        <w:rPr>
          <w:rFonts w:ascii="Times New Roman" w:eastAsia="Times New Roman" w:hAnsi="Times New Roman" w:cs="Times New Roman"/>
          <w:kern w:val="0"/>
          <w:sz w:val="24"/>
          <w:szCs w:val="24"/>
          <w:lang w:val="en-GB" w:eastAsia="ro-MD"/>
          <w14:ligatures w14:val="none"/>
        </w:rPr>
        <w:t xml:space="preserve"> </w:t>
      </w:r>
    </w:p>
    <w:p w14:paraId="397F543C" w14:textId="6D18795D"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e) </w:t>
      </w:r>
      <w:r w:rsidR="005D7ABB" w:rsidRPr="007860B5">
        <w:rPr>
          <w:rFonts w:ascii="Times New Roman" w:eastAsia="Times New Roman" w:hAnsi="Times New Roman" w:cs="Times New Roman"/>
          <w:kern w:val="0"/>
          <w:sz w:val="24"/>
          <w:szCs w:val="24"/>
          <w:lang w:val="en-GB" w:eastAsia="ro-MD"/>
          <w14:ligatures w14:val="none"/>
        </w:rPr>
        <w:t xml:space="preserve">using the chosen internal model or its results for a purpose for which the model was not designed or intended, including manipulating the </w:t>
      </w:r>
      <w:r w:rsidR="00425FBF" w:rsidRPr="007860B5">
        <w:rPr>
          <w:rFonts w:ascii="Times New Roman" w:eastAsia="Times New Roman" w:hAnsi="Times New Roman" w:cs="Times New Roman"/>
          <w:kern w:val="0"/>
          <w:sz w:val="24"/>
          <w:szCs w:val="24"/>
          <w:lang w:val="en-GB" w:eastAsia="ro-MD"/>
          <w14:ligatures w14:val="none"/>
        </w:rPr>
        <w:t>modelling</w:t>
      </w:r>
      <w:r w:rsidR="005D7ABB" w:rsidRPr="007860B5">
        <w:rPr>
          <w:rFonts w:ascii="Times New Roman" w:eastAsia="Times New Roman" w:hAnsi="Times New Roman" w:cs="Times New Roman"/>
          <w:kern w:val="0"/>
          <w:sz w:val="24"/>
          <w:szCs w:val="24"/>
          <w:lang w:val="en-GB" w:eastAsia="ro-MD"/>
          <w14:ligatures w14:val="none"/>
        </w:rPr>
        <w:t xml:space="preserve"> </w:t>
      </w:r>
      <w:proofErr w:type="gramStart"/>
      <w:r w:rsidR="005D7ABB" w:rsidRPr="007860B5">
        <w:rPr>
          <w:rFonts w:ascii="Times New Roman" w:eastAsia="Times New Roman" w:hAnsi="Times New Roman" w:cs="Times New Roman"/>
          <w:kern w:val="0"/>
          <w:sz w:val="24"/>
          <w:szCs w:val="24"/>
          <w:lang w:val="en-GB" w:eastAsia="ro-MD"/>
          <w14:ligatures w14:val="none"/>
        </w:rPr>
        <w:t>parameters</w:t>
      </w:r>
      <w:r w:rsidRPr="007860B5">
        <w:rPr>
          <w:rFonts w:ascii="Times New Roman" w:eastAsia="Times New Roman" w:hAnsi="Times New Roman" w:cs="Times New Roman"/>
          <w:kern w:val="0"/>
          <w:sz w:val="24"/>
          <w:szCs w:val="24"/>
          <w:lang w:val="en-GB" w:eastAsia="ro-MD"/>
          <w14:ligatures w14:val="none"/>
        </w:rPr>
        <w:t>;</w:t>
      </w:r>
      <w:proofErr w:type="gramEnd"/>
      <w:r w:rsidRPr="007860B5">
        <w:rPr>
          <w:rFonts w:ascii="Times New Roman" w:eastAsia="Times New Roman" w:hAnsi="Times New Roman" w:cs="Times New Roman"/>
          <w:kern w:val="0"/>
          <w:sz w:val="24"/>
          <w:szCs w:val="24"/>
          <w:lang w:val="en-GB" w:eastAsia="ro-MD"/>
          <w14:ligatures w14:val="none"/>
        </w:rPr>
        <w:t xml:space="preserve"> </w:t>
      </w:r>
    </w:p>
    <w:p w14:paraId="4B2266D2" w14:textId="1F3D5ED9" w:rsidR="00B63BA1" w:rsidRPr="007860B5" w:rsidRDefault="00B63BA1" w:rsidP="00995760">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f) </w:t>
      </w:r>
      <w:r w:rsidR="005D7ABB" w:rsidRPr="007860B5">
        <w:rPr>
          <w:rFonts w:ascii="Times New Roman" w:eastAsia="Times New Roman" w:hAnsi="Times New Roman" w:cs="Times New Roman"/>
          <w:kern w:val="0"/>
          <w:sz w:val="24"/>
          <w:szCs w:val="24"/>
          <w:lang w:val="en-GB" w:eastAsia="ro-MD"/>
          <w14:ligatures w14:val="none"/>
        </w:rPr>
        <w:t>delayed or ineffective monitoring or validation of model performance or predictive capacity to assess whether the chosen internal model is still fit for purpose</w:t>
      </w:r>
      <w:r w:rsidRPr="007860B5">
        <w:rPr>
          <w:rFonts w:ascii="Times New Roman" w:eastAsia="Times New Roman" w:hAnsi="Times New Roman" w:cs="Times New Roman"/>
          <w:kern w:val="0"/>
          <w:sz w:val="24"/>
          <w:szCs w:val="24"/>
          <w:lang w:val="en-GB" w:eastAsia="ro-MD"/>
          <w14:ligatures w14:val="none"/>
        </w:rPr>
        <w:t>;”</w:t>
      </w:r>
    </w:p>
    <w:p w14:paraId="6AD52A9C" w14:textId="68ADF615" w:rsidR="002417FD" w:rsidRPr="007860B5" w:rsidRDefault="005D7ABB" w:rsidP="00995760">
      <w:pPr>
        <w:pStyle w:val="ListParagraph"/>
        <w:numPr>
          <w:ilvl w:val="2"/>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the term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operational risk</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shall have the following meaning: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operational risk </w:t>
      </w:r>
      <w:r w:rsidR="00425FBF" w:rsidRPr="007860B5">
        <w:rPr>
          <w:rFonts w:ascii="Times New Roman" w:eastAsia="Times New Roman" w:hAnsi="Times New Roman" w:cs="Times New Roman"/>
          <w:kern w:val="0"/>
          <w:sz w:val="24"/>
          <w:szCs w:val="24"/>
          <w:lang w:val="en-GB" w:eastAsia="ro-MD"/>
          <w14:ligatures w14:val="none"/>
        </w:rPr>
        <w:t>–</w:t>
      </w:r>
      <w:r w:rsidRPr="007860B5">
        <w:rPr>
          <w:rFonts w:ascii="Times New Roman" w:eastAsia="Times New Roman" w:hAnsi="Times New Roman" w:cs="Times New Roman"/>
          <w:kern w:val="0"/>
          <w:sz w:val="24"/>
          <w:szCs w:val="24"/>
          <w:lang w:val="en-GB" w:eastAsia="ro-MD"/>
          <w14:ligatures w14:val="none"/>
        </w:rPr>
        <w:t xml:space="preserve"> the risk of loss resulting from inadequate or failed internal processes, people, or systems, or from external events, including legal risk, compliance risk, model risk, and information and communications technology risk, without limitation, but excluding strategic risk and reputational risk</w:t>
      </w:r>
      <w:r w:rsidR="003824DF" w:rsidRPr="007860B5">
        <w:rPr>
          <w:rFonts w:ascii="Times New Roman" w:hAnsi="Times New Roman" w:cs="Times New Roman"/>
          <w:bCs/>
          <w:sz w:val="24"/>
          <w:szCs w:val="24"/>
          <w:lang w:val="en-GB"/>
        </w:rPr>
        <w:t>;</w:t>
      </w:r>
      <w:r w:rsidR="00713BBA" w:rsidRPr="007860B5">
        <w:rPr>
          <w:rFonts w:ascii="Times New Roman" w:hAnsi="Times New Roman" w:cs="Times New Roman"/>
          <w:bCs/>
          <w:sz w:val="24"/>
          <w:szCs w:val="24"/>
          <w:lang w:val="en-GB"/>
        </w:rPr>
        <w:t>”</w:t>
      </w:r>
      <w:r w:rsidR="00F34D5A" w:rsidRPr="007860B5">
        <w:rPr>
          <w:rFonts w:ascii="Times New Roman" w:eastAsia="Times New Roman" w:hAnsi="Times New Roman" w:cs="Times New Roman"/>
          <w:kern w:val="0"/>
          <w:sz w:val="24"/>
          <w:szCs w:val="24"/>
          <w:lang w:val="en-GB" w:eastAsia="ro-MD"/>
          <w14:ligatures w14:val="none"/>
        </w:rPr>
        <w:t>.</w:t>
      </w:r>
    </w:p>
    <w:p w14:paraId="75A01B28" w14:textId="43600341" w:rsidR="00D63087" w:rsidRPr="007860B5" w:rsidRDefault="00D63087" w:rsidP="004F6EEA">
      <w:pPr>
        <w:pStyle w:val="ListParagraph"/>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3.2. </w:t>
      </w:r>
      <w:r w:rsidR="00425FBF" w:rsidRPr="007860B5">
        <w:rPr>
          <w:rFonts w:ascii="Times New Roman" w:eastAsia="Times New Roman" w:hAnsi="Times New Roman" w:cs="Times New Roman"/>
          <w:kern w:val="0"/>
          <w:sz w:val="24"/>
          <w:szCs w:val="24"/>
          <w:lang w:val="en-GB" w:eastAsia="ro-MD"/>
          <w14:ligatures w14:val="none"/>
        </w:rPr>
        <w:t>Paragraph</w:t>
      </w:r>
      <w:r w:rsidRPr="007860B5">
        <w:rPr>
          <w:rFonts w:ascii="Times New Roman" w:eastAsia="Times New Roman" w:hAnsi="Times New Roman" w:cs="Times New Roman"/>
          <w:kern w:val="0"/>
          <w:sz w:val="24"/>
          <w:szCs w:val="24"/>
          <w:lang w:val="en-GB" w:eastAsia="ro-MD"/>
          <w14:ligatures w14:val="none"/>
        </w:rPr>
        <w:t xml:space="preserve"> 260:</w:t>
      </w:r>
    </w:p>
    <w:p w14:paraId="642A220C" w14:textId="7AECCA30" w:rsidR="00D63087" w:rsidRPr="007860B5" w:rsidRDefault="00D63087" w:rsidP="004F6EEA">
      <w:pPr>
        <w:pStyle w:val="ListParagraph"/>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3.2.1. </w:t>
      </w:r>
      <w:r w:rsidR="00425FBF" w:rsidRPr="007860B5">
        <w:rPr>
          <w:rFonts w:ascii="Times New Roman" w:eastAsia="Times New Roman" w:hAnsi="Times New Roman" w:cs="Times New Roman"/>
          <w:kern w:val="0"/>
          <w:sz w:val="24"/>
          <w:szCs w:val="24"/>
          <w:lang w:val="en-GB" w:eastAsia="ro-MD"/>
          <w14:ligatures w14:val="none"/>
        </w:rPr>
        <w:t>sub-paragraph 2) shall read as follows: “2) risk related to information and communications technology (ICT risk);</w:t>
      </w:r>
      <w:proofErr w:type="gramStart"/>
      <w:r w:rsidRPr="007860B5">
        <w:rPr>
          <w:rFonts w:ascii="Times New Roman" w:eastAsia="Times New Roman" w:hAnsi="Times New Roman" w:cs="Times New Roman"/>
          <w:kern w:val="0"/>
          <w:sz w:val="24"/>
          <w:szCs w:val="24"/>
          <w:lang w:val="en-GB" w:eastAsia="ro-MD"/>
          <w14:ligatures w14:val="none"/>
        </w:rPr>
        <w:t>”</w:t>
      </w:r>
      <w:r w:rsidR="00141670" w:rsidRPr="007860B5">
        <w:rPr>
          <w:rFonts w:ascii="Times New Roman" w:eastAsia="Times New Roman" w:hAnsi="Times New Roman" w:cs="Times New Roman"/>
          <w:kern w:val="0"/>
          <w:sz w:val="24"/>
          <w:szCs w:val="24"/>
          <w:lang w:val="en-GB" w:eastAsia="ro-MD"/>
          <w14:ligatures w14:val="none"/>
        </w:rPr>
        <w:t>;</w:t>
      </w:r>
      <w:proofErr w:type="gramEnd"/>
    </w:p>
    <w:p w14:paraId="36E8C85D" w14:textId="691580FB" w:rsidR="00D63087" w:rsidRPr="007860B5" w:rsidRDefault="00D63087" w:rsidP="00D63087">
      <w:pPr>
        <w:pStyle w:val="ListParagraph"/>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3.2.2. </w:t>
      </w:r>
      <w:r w:rsidR="00425FBF" w:rsidRPr="007860B5">
        <w:rPr>
          <w:rFonts w:ascii="Times New Roman" w:eastAsia="Times New Roman" w:hAnsi="Times New Roman" w:cs="Times New Roman"/>
          <w:kern w:val="0"/>
          <w:sz w:val="24"/>
          <w:szCs w:val="24"/>
          <w:lang w:val="en-GB" w:eastAsia="ro-MD"/>
          <w14:ligatures w14:val="none"/>
        </w:rPr>
        <w:t>sub-paragraphs 3) and 4) are added with the following content:</w:t>
      </w:r>
    </w:p>
    <w:p w14:paraId="1B5B75BF" w14:textId="5A242C43" w:rsidR="00D63087" w:rsidRPr="007860B5" w:rsidRDefault="00425FBF" w:rsidP="00D63087">
      <w:pPr>
        <w:pStyle w:val="ListParagraph"/>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“3) legal </w:t>
      </w:r>
      <w:proofErr w:type="gramStart"/>
      <w:r w:rsidRPr="007860B5">
        <w:rPr>
          <w:rFonts w:ascii="Times New Roman" w:eastAsia="Times New Roman" w:hAnsi="Times New Roman" w:cs="Times New Roman"/>
          <w:kern w:val="0"/>
          <w:sz w:val="24"/>
          <w:szCs w:val="24"/>
          <w:lang w:val="en-GB" w:eastAsia="ro-MD"/>
          <w14:ligatures w14:val="none"/>
        </w:rPr>
        <w:t>risk</w:t>
      </w:r>
      <w:r w:rsidR="00D63087" w:rsidRPr="007860B5">
        <w:rPr>
          <w:rFonts w:ascii="Times New Roman" w:eastAsia="Times New Roman" w:hAnsi="Times New Roman" w:cs="Times New Roman"/>
          <w:kern w:val="0"/>
          <w:sz w:val="24"/>
          <w:szCs w:val="24"/>
          <w:lang w:val="en-GB" w:eastAsia="ro-MD"/>
          <w14:ligatures w14:val="none"/>
        </w:rPr>
        <w:t>;</w:t>
      </w:r>
      <w:proofErr w:type="gramEnd"/>
    </w:p>
    <w:p w14:paraId="4E7E02AD" w14:textId="3448CC3C" w:rsidR="00D63087" w:rsidRPr="007860B5" w:rsidRDefault="00D63087" w:rsidP="004F6EEA">
      <w:pPr>
        <w:pStyle w:val="ListParagraph"/>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4) </w:t>
      </w:r>
      <w:r w:rsidR="00425FBF" w:rsidRPr="007860B5">
        <w:rPr>
          <w:rFonts w:ascii="Times New Roman" w:eastAsia="Times New Roman" w:hAnsi="Times New Roman" w:cs="Times New Roman"/>
          <w:kern w:val="0"/>
          <w:sz w:val="24"/>
          <w:szCs w:val="24"/>
          <w:lang w:val="en-GB" w:eastAsia="ro-MD"/>
          <w14:ligatures w14:val="none"/>
        </w:rPr>
        <w:t>model risk.</w:t>
      </w:r>
      <w:proofErr w:type="gramStart"/>
      <w:r w:rsidR="00425FBF" w:rsidRPr="007860B5">
        <w:rPr>
          <w:rFonts w:ascii="Times New Roman" w:eastAsia="Times New Roman" w:hAnsi="Times New Roman" w:cs="Times New Roman"/>
          <w:kern w:val="0"/>
          <w:sz w:val="24"/>
          <w:szCs w:val="24"/>
          <w:lang w:val="en-GB" w:eastAsia="ro-MD"/>
          <w14:ligatures w14:val="none"/>
        </w:rPr>
        <w:t>”;</w:t>
      </w:r>
      <w:proofErr w:type="gramEnd"/>
    </w:p>
    <w:p w14:paraId="13F09E80" w14:textId="79020C99" w:rsidR="00543DCF" w:rsidRPr="007860B5" w:rsidRDefault="00853041" w:rsidP="008073BF">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3.3. </w:t>
      </w:r>
      <w:r w:rsidR="00425FBF" w:rsidRPr="007860B5">
        <w:rPr>
          <w:rFonts w:ascii="Times New Roman" w:eastAsia="Times New Roman" w:hAnsi="Times New Roman" w:cs="Times New Roman"/>
          <w:kern w:val="0"/>
          <w:sz w:val="24"/>
          <w:szCs w:val="24"/>
          <w:lang w:val="en-GB" w:eastAsia="ro-MD"/>
          <w14:ligatures w14:val="none"/>
        </w:rPr>
        <w:t xml:space="preserve">Paragraph 262 shall read as follows: 262. In the process of operational risk management, the bank shall </w:t>
      </w:r>
      <w:proofErr w:type="gramStart"/>
      <w:r w:rsidR="00425FBF" w:rsidRPr="007860B5">
        <w:rPr>
          <w:rFonts w:ascii="Times New Roman" w:eastAsia="Times New Roman" w:hAnsi="Times New Roman" w:cs="Times New Roman"/>
          <w:kern w:val="0"/>
          <w:sz w:val="24"/>
          <w:szCs w:val="24"/>
          <w:lang w:val="en-GB" w:eastAsia="ro-MD"/>
          <w14:ligatures w14:val="none"/>
        </w:rPr>
        <w:t>take into account</w:t>
      </w:r>
      <w:proofErr w:type="gramEnd"/>
      <w:r w:rsidR="00425FBF" w:rsidRPr="007860B5">
        <w:rPr>
          <w:rFonts w:ascii="Times New Roman" w:eastAsia="Times New Roman" w:hAnsi="Times New Roman" w:cs="Times New Roman"/>
          <w:kern w:val="0"/>
          <w:sz w:val="24"/>
          <w:szCs w:val="24"/>
          <w:lang w:val="en-GB" w:eastAsia="ro-MD"/>
          <w14:ligatures w14:val="none"/>
        </w:rPr>
        <w:t xml:space="preserve"> at least the loss events listed in Section 9, Chapter III of the Regulation on own funds requirements for operational risk, approved by Decision No 311/2025 of the Executive Board of the National Bank of Moldova</w:t>
      </w:r>
      <w:proofErr w:type="gramStart"/>
      <w:r w:rsidR="00C8375A" w:rsidRPr="007860B5">
        <w:rPr>
          <w:rFonts w:ascii="Times New Roman" w:eastAsia="Times New Roman" w:hAnsi="Times New Roman" w:cs="Times New Roman"/>
          <w:kern w:val="0"/>
          <w:sz w:val="24"/>
          <w:szCs w:val="24"/>
          <w:lang w:val="en-GB" w:eastAsia="ro-MD"/>
          <w14:ligatures w14:val="none"/>
        </w:rPr>
        <w:t>”</w:t>
      </w:r>
      <w:r w:rsidR="00141670" w:rsidRPr="007860B5">
        <w:rPr>
          <w:rFonts w:ascii="Times New Roman" w:eastAsia="Times New Roman" w:hAnsi="Times New Roman" w:cs="Times New Roman"/>
          <w:kern w:val="0"/>
          <w:sz w:val="24"/>
          <w:szCs w:val="24"/>
          <w:lang w:val="en-GB" w:eastAsia="ro-MD"/>
          <w14:ligatures w14:val="none"/>
        </w:rPr>
        <w:t>;</w:t>
      </w:r>
      <w:proofErr w:type="gramEnd"/>
    </w:p>
    <w:p w14:paraId="2412F9F3" w14:textId="174F56E4" w:rsidR="009B2344" w:rsidRPr="007860B5" w:rsidRDefault="00853041" w:rsidP="008073BF">
      <w:pPr>
        <w:pStyle w:val="ListParagraph"/>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3.</w:t>
      </w:r>
      <w:r w:rsidR="00514D12" w:rsidRPr="007860B5">
        <w:rPr>
          <w:rFonts w:ascii="Times New Roman" w:eastAsia="Times New Roman" w:hAnsi="Times New Roman" w:cs="Times New Roman"/>
          <w:kern w:val="0"/>
          <w:sz w:val="24"/>
          <w:szCs w:val="24"/>
          <w:lang w:val="en-GB" w:eastAsia="ro-MD"/>
          <w14:ligatures w14:val="none"/>
        </w:rPr>
        <w:t>4</w:t>
      </w:r>
      <w:r w:rsidRPr="007860B5">
        <w:rPr>
          <w:rFonts w:ascii="Times New Roman" w:eastAsia="Times New Roman" w:hAnsi="Times New Roman" w:cs="Times New Roman"/>
          <w:kern w:val="0"/>
          <w:sz w:val="24"/>
          <w:szCs w:val="24"/>
          <w:lang w:val="en-GB" w:eastAsia="ro-MD"/>
          <w14:ligatures w14:val="none"/>
        </w:rPr>
        <w:t xml:space="preserve">. </w:t>
      </w:r>
      <w:r w:rsidR="009B2344" w:rsidRPr="007860B5">
        <w:rPr>
          <w:rFonts w:ascii="Times New Roman" w:eastAsia="Times New Roman" w:hAnsi="Times New Roman" w:cs="Times New Roman"/>
          <w:kern w:val="0"/>
          <w:sz w:val="24"/>
          <w:szCs w:val="24"/>
          <w:lang w:val="en-GB" w:eastAsia="ro-MD"/>
          <w14:ligatures w14:val="none"/>
        </w:rPr>
        <w:t xml:space="preserve"> </w:t>
      </w:r>
      <w:r w:rsidR="0024430C" w:rsidRPr="007860B5">
        <w:rPr>
          <w:rFonts w:ascii="Times New Roman" w:eastAsia="Times New Roman" w:hAnsi="Times New Roman" w:cs="Times New Roman"/>
          <w:kern w:val="0"/>
          <w:sz w:val="24"/>
          <w:szCs w:val="24"/>
          <w:lang w:val="en-GB" w:eastAsia="ro-MD"/>
          <w14:ligatures w14:val="none"/>
        </w:rPr>
        <w:t xml:space="preserve">In paragraph 354, sub-paragraph 3), the text </w:t>
      </w:r>
      <w:proofErr w:type="gramStart"/>
      <w:r w:rsidR="0024430C" w:rsidRPr="007860B5">
        <w:rPr>
          <w:rFonts w:ascii="Times New Roman" w:eastAsia="Times New Roman" w:hAnsi="Times New Roman" w:cs="Times New Roman"/>
          <w:kern w:val="0"/>
          <w:sz w:val="24"/>
          <w:szCs w:val="24"/>
          <w:lang w:val="en-GB" w:eastAsia="ro-MD"/>
          <w14:ligatures w14:val="none"/>
        </w:rPr>
        <w:t>“</w:t>
      </w:r>
      <w:r w:rsidR="009B2344" w:rsidRPr="007860B5">
        <w:rPr>
          <w:rFonts w:ascii="Times New Roman" w:eastAsia="Times New Roman" w:hAnsi="Times New Roman" w:cs="Times New Roman"/>
          <w:kern w:val="0"/>
          <w:sz w:val="24"/>
          <w:szCs w:val="24"/>
          <w:lang w:val="en-GB" w:eastAsia="ro-MD"/>
          <w14:ligatures w14:val="none"/>
        </w:rPr>
        <w:t>,</w:t>
      </w:r>
      <w:r w:rsidR="0024430C" w:rsidRPr="007860B5">
        <w:rPr>
          <w:rFonts w:ascii="Times New Roman" w:eastAsia="Times New Roman" w:hAnsi="Times New Roman"/>
          <w:sz w:val="24"/>
          <w:szCs w:val="24"/>
          <w:lang w:val="en-GB"/>
        </w:rPr>
        <w:t>underestimating</w:t>
      </w:r>
      <w:proofErr w:type="gramEnd"/>
      <w:r w:rsidR="0024430C" w:rsidRPr="007860B5">
        <w:rPr>
          <w:rFonts w:ascii="Times New Roman" w:eastAsia="Times New Roman" w:hAnsi="Times New Roman"/>
          <w:sz w:val="24"/>
          <w:szCs w:val="24"/>
          <w:lang w:val="en-GB"/>
        </w:rPr>
        <w:t xml:space="preserve"> operational risk in the context of using the underlying approach or the standardized approach</w:t>
      </w:r>
      <w:r w:rsidR="009B2344" w:rsidRPr="007860B5">
        <w:rPr>
          <w:rFonts w:ascii="Times New Roman" w:eastAsia="Times New Roman" w:hAnsi="Times New Roman" w:cs="Times New Roman"/>
          <w:kern w:val="0"/>
          <w:sz w:val="24"/>
          <w:szCs w:val="24"/>
          <w:lang w:val="en-GB" w:eastAsia="ro-MD"/>
          <w14:ligatures w14:val="none"/>
        </w:rPr>
        <w:t xml:space="preserve">” </w:t>
      </w:r>
      <w:r w:rsidR="0024430C" w:rsidRPr="007860B5">
        <w:rPr>
          <w:rFonts w:ascii="Times New Roman" w:eastAsia="Times New Roman" w:hAnsi="Times New Roman" w:cs="Times New Roman"/>
          <w:kern w:val="0"/>
          <w:sz w:val="24"/>
          <w:szCs w:val="24"/>
          <w:lang w:val="en-GB" w:eastAsia="ro-MD"/>
          <w14:ligatures w14:val="none"/>
        </w:rPr>
        <w:t>is excluded</w:t>
      </w:r>
      <w:r w:rsidR="009B2344" w:rsidRPr="007860B5">
        <w:rPr>
          <w:rFonts w:ascii="Times New Roman" w:eastAsia="Times New Roman" w:hAnsi="Times New Roman" w:cs="Times New Roman"/>
          <w:kern w:val="0"/>
          <w:sz w:val="24"/>
          <w:szCs w:val="24"/>
          <w:lang w:val="en-GB" w:eastAsia="ro-MD"/>
          <w14:ligatures w14:val="none"/>
        </w:rPr>
        <w:t>.</w:t>
      </w:r>
    </w:p>
    <w:p w14:paraId="3D7BE340" w14:textId="6E015F63" w:rsidR="007B7079" w:rsidRPr="007860B5" w:rsidRDefault="0024430C" w:rsidP="00995760">
      <w:pPr>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lastRenderedPageBreak/>
        <w:t xml:space="preserve">The Regulation on the requirements for the publication of information by banks, approved by Decision No 158/2020 of the Executive Board of the National Bank of Moldova (Official Gazette of the Republic of Moldova, 2020, No 188-192, </w:t>
      </w:r>
      <w:r w:rsidR="003E74E1" w:rsidRPr="007860B5">
        <w:rPr>
          <w:rFonts w:ascii="Times New Roman" w:eastAsia="Times New Roman" w:hAnsi="Times New Roman" w:cs="Times New Roman"/>
          <w:kern w:val="0"/>
          <w:sz w:val="24"/>
          <w:szCs w:val="24"/>
          <w:lang w:val="en-GB" w:eastAsia="ro-MD"/>
          <w14:ligatures w14:val="none"/>
        </w:rPr>
        <w:t xml:space="preserve">Article </w:t>
      </w:r>
      <w:r w:rsidRPr="007860B5">
        <w:rPr>
          <w:rFonts w:ascii="Times New Roman" w:eastAsia="Times New Roman" w:hAnsi="Times New Roman" w:cs="Times New Roman"/>
          <w:kern w:val="0"/>
          <w:sz w:val="24"/>
          <w:szCs w:val="24"/>
          <w:lang w:val="en-GB" w:eastAsia="ro-MD"/>
          <w14:ligatures w14:val="none"/>
        </w:rPr>
        <w:t>667), registered with the Ministry of Justice of the Republic of Moldova under No 1581/2020, is amended as follows</w:t>
      </w:r>
      <w:r w:rsidR="007B7079" w:rsidRPr="007860B5">
        <w:rPr>
          <w:rFonts w:ascii="Times New Roman" w:eastAsia="Times New Roman" w:hAnsi="Times New Roman" w:cs="Times New Roman"/>
          <w:kern w:val="0"/>
          <w:sz w:val="24"/>
          <w:szCs w:val="24"/>
          <w:lang w:val="en-GB" w:eastAsia="ro-MD"/>
          <w14:ligatures w14:val="none"/>
        </w:rPr>
        <w:t>:</w:t>
      </w:r>
    </w:p>
    <w:p w14:paraId="54C9E158" w14:textId="621FF97D" w:rsidR="007B7079" w:rsidRPr="007860B5" w:rsidRDefault="007B7079" w:rsidP="007B7079">
      <w:pPr>
        <w:pStyle w:val="ListParagraph"/>
        <w:numPr>
          <w:ilvl w:val="1"/>
          <w:numId w:val="1"/>
        </w:numPr>
        <w:spacing w:after="0" w:line="240" w:lineRule="auto"/>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 </w:t>
      </w:r>
      <w:r w:rsidR="003E74E1" w:rsidRPr="007860B5">
        <w:rPr>
          <w:rFonts w:ascii="Times New Roman" w:eastAsia="Times New Roman" w:hAnsi="Times New Roman" w:cs="Times New Roman"/>
          <w:kern w:val="0"/>
          <w:sz w:val="24"/>
          <w:szCs w:val="24"/>
          <w:lang w:val="en-GB" w:eastAsia="ro-MD"/>
          <w14:ligatures w14:val="none"/>
        </w:rPr>
        <w:t>Paragraph 59, sub-paragraph 5) shall read as follows:</w:t>
      </w:r>
    </w:p>
    <w:p w14:paraId="64CC3343" w14:textId="269199C3" w:rsidR="008073BF" w:rsidRPr="007860B5" w:rsidRDefault="00D14767" w:rsidP="008073BF">
      <w:pPr>
        <w:spacing w:after="0" w:line="240" w:lineRule="auto"/>
        <w:ind w:left="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w:t>
      </w:r>
      <w:r w:rsidR="007B7079" w:rsidRPr="007860B5">
        <w:rPr>
          <w:rFonts w:ascii="Times New Roman" w:eastAsia="Times New Roman" w:hAnsi="Times New Roman" w:cs="Times New Roman"/>
          <w:kern w:val="0"/>
          <w:sz w:val="24"/>
          <w:szCs w:val="24"/>
          <w:lang w:val="en-GB" w:eastAsia="ro-MD"/>
          <w14:ligatures w14:val="none"/>
        </w:rPr>
        <w:t xml:space="preserve">5) </w:t>
      </w:r>
      <w:r w:rsidR="003E74E1" w:rsidRPr="007860B5">
        <w:rPr>
          <w:rFonts w:ascii="Times New Roman" w:eastAsia="Times New Roman" w:hAnsi="Times New Roman" w:cs="Times New Roman"/>
          <w:kern w:val="0"/>
          <w:sz w:val="24"/>
          <w:szCs w:val="24"/>
          <w:lang w:val="en-GB" w:eastAsia="ro-MD"/>
          <w14:ligatures w14:val="none"/>
        </w:rPr>
        <w:t>own funds requirements calculated in accordance with the Regulation on own funds requirements for operational risk, approved by Decision No 311/2025 of the Executive Board of the National Bank of Moldova</w:t>
      </w:r>
      <w:r w:rsidR="00141670" w:rsidRPr="007860B5">
        <w:rPr>
          <w:rFonts w:ascii="Times New Roman" w:eastAsia="Times New Roman" w:hAnsi="Times New Roman" w:cs="Times New Roman"/>
          <w:kern w:val="0"/>
          <w:sz w:val="24"/>
          <w:szCs w:val="24"/>
          <w:lang w:val="en-GB" w:eastAsia="ro-MD"/>
          <w14:ligatures w14:val="none"/>
        </w:rPr>
        <w:t>.</w:t>
      </w:r>
      <w:r w:rsidR="007B7079" w:rsidRPr="007860B5">
        <w:rPr>
          <w:rFonts w:ascii="Times New Roman" w:eastAsia="Times New Roman" w:hAnsi="Times New Roman" w:cs="Times New Roman"/>
          <w:kern w:val="0"/>
          <w:sz w:val="24"/>
          <w:szCs w:val="24"/>
          <w:lang w:val="en-GB" w:eastAsia="ro-MD"/>
          <w14:ligatures w14:val="none"/>
        </w:rPr>
        <w:t>”</w:t>
      </w:r>
      <w:r w:rsidR="00141670" w:rsidRPr="007860B5">
        <w:rPr>
          <w:rFonts w:ascii="Times New Roman" w:eastAsia="Times New Roman" w:hAnsi="Times New Roman" w:cs="Times New Roman"/>
          <w:kern w:val="0"/>
          <w:sz w:val="24"/>
          <w:szCs w:val="24"/>
          <w:lang w:val="en-GB" w:eastAsia="ro-MD"/>
          <w14:ligatures w14:val="none"/>
        </w:rPr>
        <w:t>.</w:t>
      </w:r>
    </w:p>
    <w:p w14:paraId="56588025" w14:textId="57CFCD58" w:rsidR="008073BF" w:rsidRPr="007860B5" w:rsidRDefault="008073BF" w:rsidP="008073BF">
      <w:pPr>
        <w:pStyle w:val="ListParagraph"/>
        <w:numPr>
          <w:ilvl w:val="1"/>
          <w:numId w:val="1"/>
        </w:numPr>
        <w:spacing w:after="0" w:line="240" w:lineRule="auto"/>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 </w:t>
      </w:r>
      <w:r w:rsidR="003E74E1" w:rsidRPr="007860B5">
        <w:rPr>
          <w:rFonts w:ascii="Times New Roman" w:eastAsia="Times New Roman" w:hAnsi="Times New Roman" w:cs="Times New Roman"/>
          <w:kern w:val="0"/>
          <w:sz w:val="24"/>
          <w:szCs w:val="24"/>
          <w:lang w:val="en-GB" w:eastAsia="ro-MD"/>
          <w14:ligatures w14:val="none"/>
        </w:rPr>
        <w:t>Paragraph 64 is repealed</w:t>
      </w:r>
      <w:r w:rsidR="002F0F4E" w:rsidRPr="007860B5">
        <w:rPr>
          <w:rFonts w:ascii="Times New Roman" w:eastAsia="Times New Roman" w:hAnsi="Times New Roman" w:cs="Times New Roman"/>
          <w:kern w:val="0"/>
          <w:sz w:val="24"/>
          <w:szCs w:val="24"/>
          <w:lang w:val="en-GB" w:eastAsia="ro-MD"/>
          <w14:ligatures w14:val="none"/>
        </w:rPr>
        <w:t>.</w:t>
      </w:r>
      <w:r w:rsidR="00F7245F" w:rsidRPr="007860B5">
        <w:rPr>
          <w:rFonts w:ascii="Times New Roman" w:eastAsia="Times New Roman" w:hAnsi="Times New Roman" w:cs="Times New Roman"/>
          <w:kern w:val="0"/>
          <w:sz w:val="24"/>
          <w:szCs w:val="24"/>
          <w:lang w:val="en-GB" w:eastAsia="ro-MD"/>
          <w14:ligatures w14:val="none"/>
        </w:rPr>
        <w:t xml:space="preserve"> </w:t>
      </w:r>
    </w:p>
    <w:p w14:paraId="442D27A3" w14:textId="7D9DD1A6" w:rsidR="007B7079" w:rsidRPr="007860B5" w:rsidRDefault="00F7245F" w:rsidP="00AB16E3">
      <w:pPr>
        <w:spacing w:after="0" w:line="240" w:lineRule="auto"/>
        <w:ind w:left="568"/>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4.3. </w:t>
      </w:r>
      <w:r w:rsidR="003E74E1" w:rsidRPr="007860B5">
        <w:rPr>
          <w:rFonts w:ascii="Times New Roman" w:eastAsia="Times New Roman" w:hAnsi="Times New Roman" w:cs="Times New Roman"/>
          <w:kern w:val="0"/>
          <w:sz w:val="24"/>
          <w:szCs w:val="24"/>
          <w:lang w:val="en-GB" w:eastAsia="ro-MD"/>
          <w14:ligatures w14:val="none"/>
        </w:rPr>
        <w:t>In Annex 11, rows 23-25 of the table are excluded</w:t>
      </w:r>
      <w:r w:rsidR="001A3038" w:rsidRPr="007860B5">
        <w:rPr>
          <w:rFonts w:ascii="Times New Roman" w:eastAsia="Times New Roman" w:hAnsi="Times New Roman" w:cs="Times New Roman"/>
          <w:kern w:val="0"/>
          <w:sz w:val="24"/>
          <w:szCs w:val="24"/>
          <w:lang w:val="en-GB" w:eastAsia="ro-MD"/>
          <w14:ligatures w14:val="none"/>
        </w:rPr>
        <w:t>.</w:t>
      </w:r>
    </w:p>
    <w:p w14:paraId="41F51C18" w14:textId="40B172F3" w:rsidR="004B5416" w:rsidRPr="007860B5" w:rsidRDefault="003E74E1" w:rsidP="008073BF">
      <w:pPr>
        <w:pStyle w:val="ListParagraph"/>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This decision shall enter into force on 1 January 2027.</w:t>
      </w:r>
    </w:p>
    <w:p w14:paraId="30A4A96F" w14:textId="6207865A" w:rsidR="009C1DAB" w:rsidRPr="007860B5" w:rsidRDefault="003E74E1" w:rsidP="008073BF">
      <w:pPr>
        <w:numPr>
          <w:ilvl w:val="0"/>
          <w:numId w:val="1"/>
        </w:numPr>
        <w:spacing w:after="0" w:line="240" w:lineRule="auto"/>
        <w:ind w:left="0" w:firstLine="567"/>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The provisions of paragraph 29 of the Regulation referred to in paragraph 1 of this Decision, insofar as they relate to the 10-year period, shall apply from 1 January 2037. Until 1 January 2037, banks shall update the calculation of net loss based on observed or estimated variations in gross loss and recovery for each financial year starting on 1 January 2027</w:t>
      </w:r>
      <w:r w:rsidR="009C1DAB" w:rsidRPr="007860B5">
        <w:rPr>
          <w:rFonts w:ascii="Times New Roman" w:eastAsia="Times New Roman" w:hAnsi="Times New Roman" w:cs="Times New Roman"/>
          <w:kern w:val="0"/>
          <w:sz w:val="24"/>
          <w:szCs w:val="24"/>
          <w:lang w:val="en-GB" w:eastAsia="ro-MD"/>
          <w14:ligatures w14:val="none"/>
        </w:rPr>
        <w:t>.</w:t>
      </w:r>
    </w:p>
    <w:p w14:paraId="7D51ABE1" w14:textId="77777777" w:rsidR="00CF55F4" w:rsidRPr="007860B5" w:rsidRDefault="00CF55F4" w:rsidP="004B5416">
      <w:pPr>
        <w:spacing w:after="0" w:line="240" w:lineRule="auto"/>
        <w:rPr>
          <w:rFonts w:ascii="Times New Roman" w:eastAsia="Times New Roman" w:hAnsi="Times New Roman" w:cs="Times New Roman"/>
          <w:kern w:val="0"/>
          <w:sz w:val="24"/>
          <w:szCs w:val="24"/>
          <w:lang w:val="en-GB" w:eastAsia="ro-MD"/>
          <w14:ligatures w14:val="none"/>
        </w:rPr>
      </w:pPr>
    </w:p>
    <w:p w14:paraId="2C9B30CA" w14:textId="77777777" w:rsidR="00CF55F4" w:rsidRPr="007860B5" w:rsidRDefault="00CF55F4" w:rsidP="004B5416">
      <w:pPr>
        <w:spacing w:after="0" w:line="240" w:lineRule="auto"/>
        <w:rPr>
          <w:rFonts w:ascii="Times New Roman" w:eastAsia="Times New Roman" w:hAnsi="Times New Roman" w:cs="Times New Roman"/>
          <w:kern w:val="0"/>
          <w:sz w:val="24"/>
          <w:szCs w:val="24"/>
          <w:lang w:val="en-GB" w:eastAsia="ro-MD"/>
          <w14:ligatures w14:val="none"/>
        </w:rPr>
      </w:pPr>
    </w:p>
    <w:p w14:paraId="51EE8A75"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5CD66168" w14:textId="02B40229" w:rsidR="00014B12" w:rsidRPr="007860B5" w:rsidRDefault="003E74E1" w:rsidP="00014B12">
      <w:pPr>
        <w:spacing w:after="0" w:line="240" w:lineRule="auto"/>
        <w:jc w:val="right"/>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Chairman of the Executive Board</w:t>
      </w:r>
    </w:p>
    <w:p w14:paraId="22143D01" w14:textId="77777777" w:rsidR="00014B12" w:rsidRPr="007860B5" w:rsidRDefault="00014B12" w:rsidP="00014B12">
      <w:pPr>
        <w:spacing w:after="0" w:line="240" w:lineRule="auto"/>
        <w:jc w:val="right"/>
        <w:rPr>
          <w:rFonts w:ascii="Times New Roman" w:eastAsia="Times New Roman" w:hAnsi="Times New Roman" w:cs="Times New Roman"/>
          <w:b/>
          <w:bCs/>
          <w:kern w:val="0"/>
          <w:sz w:val="24"/>
          <w:szCs w:val="24"/>
          <w:lang w:val="en-GB" w:eastAsia="ro-MD"/>
          <w14:ligatures w14:val="none"/>
        </w:rPr>
      </w:pPr>
    </w:p>
    <w:p w14:paraId="34B0C212" w14:textId="29E71B6F" w:rsidR="00014B12" w:rsidRPr="007860B5" w:rsidRDefault="00014B12" w:rsidP="00014B12">
      <w:pPr>
        <w:spacing w:after="0" w:line="240" w:lineRule="auto"/>
        <w:jc w:val="right"/>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Anca – Dana DRAGU</w:t>
      </w:r>
    </w:p>
    <w:p w14:paraId="3A460EDE"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3E9751FD"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4EA9B89F"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42D38462"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26125433"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35F5ED5C"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25AD8E8D"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2AC3E47C"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6EFE90E9"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1C6400E5"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16706D9D"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491180DB"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0F049AB1"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625FF541"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306AC3FB"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4C475451"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63CEC794"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2A74873D"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4A6BA7BE"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1E250DD6"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5C96CA5A"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0B7AA521"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3C52802D"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1C11DD41"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662C7F01"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357C9A25"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0A3AA5A6" w14:textId="77777777" w:rsidR="0061257C" w:rsidRPr="007860B5" w:rsidRDefault="0061257C" w:rsidP="004B5416">
      <w:pPr>
        <w:spacing w:after="0" w:line="240" w:lineRule="auto"/>
        <w:rPr>
          <w:rFonts w:ascii="Times New Roman" w:eastAsia="Times New Roman" w:hAnsi="Times New Roman" w:cs="Times New Roman"/>
          <w:kern w:val="0"/>
          <w:sz w:val="24"/>
          <w:szCs w:val="24"/>
          <w:lang w:val="en-GB" w:eastAsia="ro-MD"/>
          <w14:ligatures w14:val="none"/>
        </w:rPr>
      </w:pPr>
    </w:p>
    <w:p w14:paraId="1C3BC08F"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11464AED"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068C9FE8" w14:textId="10D2542B" w:rsidR="00014B12" w:rsidRPr="007860B5" w:rsidRDefault="00014B12" w:rsidP="004B5416">
      <w:pPr>
        <w:spacing w:after="0" w:line="240" w:lineRule="auto"/>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 xml:space="preserve">Chișinău, 23 </w:t>
      </w:r>
      <w:r w:rsidR="001D7A01" w:rsidRPr="007860B5">
        <w:rPr>
          <w:rFonts w:ascii="Times New Roman" w:eastAsia="Times New Roman" w:hAnsi="Times New Roman" w:cs="Times New Roman"/>
          <w:b/>
          <w:bCs/>
          <w:kern w:val="0"/>
          <w:sz w:val="24"/>
          <w:szCs w:val="24"/>
          <w:lang w:val="en-GB" w:eastAsia="ro-MD"/>
          <w14:ligatures w14:val="none"/>
        </w:rPr>
        <w:t>December</w:t>
      </w:r>
      <w:r w:rsidRPr="007860B5">
        <w:rPr>
          <w:rFonts w:ascii="Times New Roman" w:eastAsia="Times New Roman" w:hAnsi="Times New Roman" w:cs="Times New Roman"/>
          <w:b/>
          <w:bCs/>
          <w:kern w:val="0"/>
          <w:sz w:val="24"/>
          <w:szCs w:val="24"/>
          <w:lang w:val="en-GB" w:eastAsia="ro-MD"/>
          <w14:ligatures w14:val="none"/>
        </w:rPr>
        <w:t xml:space="preserve"> 2025</w:t>
      </w:r>
    </w:p>
    <w:p w14:paraId="3C06FA83" w14:textId="79CE1FBE" w:rsidR="00014B12" w:rsidRPr="007860B5" w:rsidRDefault="00014B12" w:rsidP="004B5416">
      <w:pPr>
        <w:spacing w:after="0" w:line="240" w:lineRule="auto"/>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N</w:t>
      </w:r>
      <w:r w:rsidR="001D7A01" w:rsidRPr="007860B5">
        <w:rPr>
          <w:rFonts w:ascii="Times New Roman" w:eastAsia="Times New Roman" w:hAnsi="Times New Roman" w:cs="Times New Roman"/>
          <w:b/>
          <w:bCs/>
          <w:kern w:val="0"/>
          <w:sz w:val="24"/>
          <w:szCs w:val="24"/>
          <w:lang w:val="en-GB" w:eastAsia="ro-MD"/>
          <w14:ligatures w14:val="none"/>
        </w:rPr>
        <w:t xml:space="preserve">o </w:t>
      </w:r>
      <w:r w:rsidRPr="007860B5">
        <w:rPr>
          <w:rFonts w:ascii="Times New Roman" w:eastAsia="Times New Roman" w:hAnsi="Times New Roman" w:cs="Times New Roman"/>
          <w:b/>
          <w:bCs/>
          <w:kern w:val="0"/>
          <w:sz w:val="24"/>
          <w:szCs w:val="24"/>
          <w:lang w:val="en-GB" w:eastAsia="ro-MD"/>
          <w14:ligatures w14:val="none"/>
        </w:rPr>
        <w:t>311</w:t>
      </w:r>
    </w:p>
    <w:p w14:paraId="14E515E5"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2D02B6D3" w14:textId="77777777" w:rsidR="00014B12" w:rsidRPr="007860B5" w:rsidRDefault="00014B12" w:rsidP="004B5416">
      <w:pPr>
        <w:spacing w:after="0" w:line="240" w:lineRule="auto"/>
        <w:rPr>
          <w:rFonts w:ascii="Times New Roman" w:eastAsia="Times New Roman" w:hAnsi="Times New Roman" w:cs="Times New Roman"/>
          <w:kern w:val="0"/>
          <w:sz w:val="24"/>
          <w:szCs w:val="24"/>
          <w:lang w:val="en-GB" w:eastAsia="ro-MD"/>
          <w14:ligatures w14:val="none"/>
        </w:rPr>
      </w:pPr>
    </w:p>
    <w:p w14:paraId="36B5E65C" w14:textId="77777777" w:rsidR="004B5416" w:rsidRPr="007860B5" w:rsidRDefault="004B5416" w:rsidP="004B5416">
      <w:pPr>
        <w:spacing w:after="0" w:line="240" w:lineRule="auto"/>
        <w:rPr>
          <w:rFonts w:ascii="Times New Roman" w:eastAsia="Times New Roman" w:hAnsi="Times New Roman" w:cs="Times New Roman"/>
          <w:kern w:val="0"/>
          <w:sz w:val="24"/>
          <w:szCs w:val="24"/>
          <w:lang w:val="en-GB" w:eastAsia="ro-MD"/>
          <w14:ligatures w14:val="none"/>
        </w:rPr>
      </w:pPr>
    </w:p>
    <w:p w14:paraId="4D8BB48A" w14:textId="07FE61F5" w:rsidR="001D7A01" w:rsidRPr="007860B5" w:rsidRDefault="001D7A01" w:rsidP="001D7A01">
      <w:pPr>
        <w:spacing w:after="0" w:line="240" w:lineRule="auto"/>
        <w:jc w:val="right"/>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Approved</w:t>
      </w:r>
    </w:p>
    <w:p w14:paraId="0399FEA2" w14:textId="77777777" w:rsidR="001D7A01" w:rsidRPr="007860B5" w:rsidRDefault="001D7A01" w:rsidP="001D7A01">
      <w:pPr>
        <w:spacing w:after="0" w:line="240" w:lineRule="auto"/>
        <w:jc w:val="right"/>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 xml:space="preserve">by Decision of the Executive Board </w:t>
      </w:r>
    </w:p>
    <w:p w14:paraId="45CA40ED" w14:textId="77777777" w:rsidR="001D7A01" w:rsidRPr="007860B5" w:rsidRDefault="001D7A01" w:rsidP="001D7A01">
      <w:pPr>
        <w:spacing w:after="0" w:line="240" w:lineRule="auto"/>
        <w:jc w:val="right"/>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of the National Bank of Moldova</w:t>
      </w:r>
    </w:p>
    <w:p w14:paraId="477CF71F" w14:textId="42676FE6" w:rsidR="00480B56" w:rsidRPr="007860B5" w:rsidRDefault="001D7A01" w:rsidP="001D7A01">
      <w:pPr>
        <w:spacing w:after="0" w:line="240" w:lineRule="auto"/>
        <w:jc w:val="right"/>
        <w:rPr>
          <w:rFonts w:ascii="Times New Roman" w:eastAsia="Times New Roman" w:hAnsi="Times New Roman" w:cs="Times New Roman"/>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No 311 of 23 December 2025</w:t>
      </w:r>
    </w:p>
    <w:p w14:paraId="3649312E" w14:textId="77777777" w:rsidR="00480B56" w:rsidRPr="007860B5" w:rsidRDefault="00480B56" w:rsidP="004B5416">
      <w:pPr>
        <w:spacing w:after="0" w:line="240" w:lineRule="auto"/>
        <w:jc w:val="right"/>
        <w:rPr>
          <w:rFonts w:ascii="Times New Roman" w:eastAsia="Times New Roman" w:hAnsi="Times New Roman" w:cs="Times New Roman"/>
          <w:kern w:val="0"/>
          <w:sz w:val="24"/>
          <w:szCs w:val="24"/>
          <w:lang w:val="en-GB" w:eastAsia="ro-MD"/>
          <w14:ligatures w14:val="none"/>
        </w:rPr>
      </w:pPr>
    </w:p>
    <w:p w14:paraId="429B48B5" w14:textId="77777777" w:rsidR="004B5416" w:rsidRPr="007860B5" w:rsidRDefault="004B5416" w:rsidP="004B5416">
      <w:pPr>
        <w:spacing w:after="0" w:line="240" w:lineRule="auto"/>
        <w:jc w:val="center"/>
        <w:rPr>
          <w:rFonts w:ascii="Times New Roman" w:eastAsia="Times New Roman" w:hAnsi="Times New Roman" w:cs="Times New Roman"/>
          <w:b/>
          <w:bCs/>
          <w:kern w:val="0"/>
          <w:sz w:val="24"/>
          <w:szCs w:val="24"/>
          <w:lang w:val="en-GB" w:eastAsia="ro-MD"/>
          <w14:ligatures w14:val="none"/>
        </w:rPr>
      </w:pPr>
    </w:p>
    <w:p w14:paraId="16DC6358" w14:textId="4F4CC51D" w:rsidR="00621EE2" w:rsidRPr="007860B5" w:rsidRDefault="00621EE2" w:rsidP="00621EE2">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 xml:space="preserve">REGULATION ON OWN FUNDS REQUIREMENTS </w:t>
      </w:r>
    </w:p>
    <w:p w14:paraId="5A4121E4" w14:textId="1FDBD37A" w:rsidR="004B5416" w:rsidRPr="007860B5" w:rsidRDefault="00621EE2" w:rsidP="00621EE2">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b/>
          <w:bCs/>
          <w:kern w:val="0"/>
          <w:sz w:val="24"/>
          <w:szCs w:val="24"/>
          <w:lang w:val="en-GB" w:eastAsia="ro-MD"/>
          <w14:ligatures w14:val="none"/>
        </w:rPr>
        <w:t>FOR OPERATIONAL RISK</w:t>
      </w:r>
    </w:p>
    <w:p w14:paraId="54A024E1" w14:textId="77777777" w:rsidR="00480B56" w:rsidRPr="007860B5" w:rsidRDefault="00480B56" w:rsidP="00480B56">
      <w:pPr>
        <w:spacing w:after="0" w:line="240" w:lineRule="auto"/>
        <w:jc w:val="both"/>
        <w:rPr>
          <w:rFonts w:ascii="Times New Roman" w:eastAsia="Times New Roman" w:hAnsi="Times New Roman" w:cs="Times New Roman"/>
          <w:kern w:val="0"/>
          <w:sz w:val="24"/>
          <w:szCs w:val="24"/>
          <w:lang w:val="en-GB" w:eastAsia="ro-MD"/>
          <w14:ligatures w14:val="none"/>
        </w:rPr>
      </w:pPr>
    </w:p>
    <w:p w14:paraId="35FC334B" w14:textId="46600405" w:rsidR="00480B56" w:rsidRPr="007860B5" w:rsidRDefault="00621EE2" w:rsidP="00480B56">
      <w:pPr>
        <w:spacing w:after="0" w:line="240" w:lineRule="auto"/>
        <w:jc w:val="both"/>
        <w:rPr>
          <w:rFonts w:ascii="Times New Roman" w:eastAsia="Times New Roman" w:hAnsi="Times New Roman" w:cs="Times New Roman"/>
          <w:b/>
          <w:bCs/>
          <w:kern w:val="0"/>
          <w:sz w:val="24"/>
          <w:szCs w:val="24"/>
          <w:lang w:val="en-GB" w:eastAsia="ro-MD"/>
          <w14:ligatures w14:val="none"/>
        </w:rPr>
      </w:pPr>
      <w:r w:rsidRPr="007860B5">
        <w:rPr>
          <w:rFonts w:ascii="Times New Roman" w:eastAsia="Times New Roman" w:hAnsi="Times New Roman" w:cs="Times New Roman"/>
          <w:kern w:val="0"/>
          <w:sz w:val="24"/>
          <w:szCs w:val="24"/>
          <w:lang w:val="en-GB" w:eastAsia="ro-MD"/>
          <w14:ligatures w14:val="none"/>
        </w:rPr>
        <w:t>This regulation partially transposes Regulation No 575/2013 (transposes Article 1 letter (a), Articles 311a - 313, Article 314 paragraphs (1), (2), (5) - (8), Articles 315, Article 316 paragraphs (1), (2), Article 317 paragraphs (1) - (8), Articles 318, Article 319, Article 320 paragraphs (1), (2), Article 321 para</w:t>
      </w:r>
      <w:r w:rsidR="00B72A24" w:rsidRPr="007860B5">
        <w:rPr>
          <w:rFonts w:ascii="Times New Roman" w:eastAsia="Times New Roman" w:hAnsi="Times New Roman" w:cs="Times New Roman"/>
          <w:kern w:val="0"/>
          <w:sz w:val="24"/>
          <w:szCs w:val="24"/>
          <w:lang w:val="en-GB" w:eastAsia="ro-MD"/>
          <w14:ligatures w14:val="none"/>
        </w:rPr>
        <w:t>gra</w:t>
      </w:r>
      <w:r w:rsidRPr="007860B5">
        <w:rPr>
          <w:rFonts w:ascii="Times New Roman" w:eastAsia="Times New Roman" w:hAnsi="Times New Roman" w:cs="Times New Roman"/>
          <w:kern w:val="0"/>
          <w:sz w:val="24"/>
          <w:szCs w:val="24"/>
          <w:lang w:val="en-GB" w:eastAsia="ro-MD"/>
          <w14:ligatures w14:val="none"/>
        </w:rPr>
        <w:t>ph (1), Article 322, Article 323(1) and Article 324)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2024/1623 of the European Parliament and of the Council of 31 May 2024.</w:t>
      </w:r>
    </w:p>
    <w:p w14:paraId="23D6ECDE" w14:textId="77777777" w:rsidR="0035162D" w:rsidRPr="007860B5" w:rsidRDefault="0035162D" w:rsidP="0035162D">
      <w:pPr>
        <w:spacing w:after="0" w:line="240" w:lineRule="auto"/>
        <w:rPr>
          <w:rFonts w:ascii="Times New Roman" w:eastAsia="Times New Roman" w:hAnsi="Times New Roman" w:cs="Times New Roman"/>
          <w:b/>
          <w:bCs/>
          <w:kern w:val="0"/>
          <w:sz w:val="24"/>
          <w:szCs w:val="24"/>
          <w:lang w:val="en-GB" w:eastAsia="ro-MD"/>
          <w14:ligatures w14:val="none"/>
        </w:rPr>
      </w:pPr>
    </w:p>
    <w:p w14:paraId="31C97EB6" w14:textId="60EF7FD2" w:rsidR="0035162D" w:rsidRPr="007860B5" w:rsidRDefault="0035162D" w:rsidP="0035162D">
      <w:pPr>
        <w:spacing w:after="0" w:line="240" w:lineRule="auto"/>
        <w:rPr>
          <w:rFonts w:ascii="Times New Roman" w:eastAsia="Times New Roman" w:hAnsi="Times New Roman" w:cs="Times New Roman"/>
          <w:kern w:val="0"/>
          <w:sz w:val="24"/>
          <w:szCs w:val="24"/>
          <w:lang w:val="en-GB" w:eastAsia="ro-MD"/>
          <w14:ligatures w14:val="none"/>
        </w:rPr>
      </w:pPr>
    </w:p>
    <w:p w14:paraId="436FFF02" w14:textId="72723B75" w:rsidR="0035162D" w:rsidRPr="007860B5" w:rsidRDefault="00621EE2" w:rsidP="0035162D">
      <w:pPr>
        <w:spacing w:after="0" w:line="240" w:lineRule="auto"/>
        <w:jc w:val="center"/>
        <w:rPr>
          <w:rFonts w:ascii="Times New Roman" w:eastAsia="Times New Roman" w:hAnsi="Times New Roman" w:cs="Times New Roman"/>
          <w:b/>
          <w:kern w:val="0"/>
          <w:sz w:val="24"/>
          <w:szCs w:val="24"/>
          <w:lang w:val="en-GB" w:eastAsia="ro-MD"/>
          <w14:ligatures w14:val="none"/>
        </w:rPr>
      </w:pPr>
      <w:bookmarkStart w:id="2" w:name="_Hlk188368200"/>
      <w:r w:rsidRPr="007860B5">
        <w:rPr>
          <w:rFonts w:ascii="Times New Roman" w:eastAsia="Times New Roman" w:hAnsi="Times New Roman" w:cs="Times New Roman"/>
          <w:b/>
          <w:kern w:val="0"/>
          <w:sz w:val="24"/>
          <w:szCs w:val="24"/>
          <w:lang w:val="en-GB" w:eastAsia="ro-MD"/>
          <w14:ligatures w14:val="none"/>
        </w:rPr>
        <w:t>Chapter</w:t>
      </w:r>
      <w:r w:rsidR="0035162D" w:rsidRPr="007860B5">
        <w:rPr>
          <w:rFonts w:ascii="Times New Roman" w:eastAsia="Times New Roman" w:hAnsi="Times New Roman" w:cs="Times New Roman"/>
          <w:b/>
          <w:kern w:val="0"/>
          <w:sz w:val="24"/>
          <w:szCs w:val="24"/>
          <w:lang w:val="en-GB" w:eastAsia="ro-MD"/>
          <w14:ligatures w14:val="none"/>
        </w:rPr>
        <w:t xml:space="preserve"> I</w:t>
      </w:r>
    </w:p>
    <w:p w14:paraId="3A96C6CB" w14:textId="23A4CD51" w:rsidR="0035162D" w:rsidRPr="007860B5" w:rsidRDefault="00621EE2" w:rsidP="0035162D">
      <w:pPr>
        <w:spacing w:after="0" w:line="240" w:lineRule="auto"/>
        <w:jc w:val="center"/>
        <w:rPr>
          <w:rFonts w:ascii="Times New Roman" w:eastAsia="Times New Roman" w:hAnsi="Times New Roman" w:cs="Times New Roman"/>
          <w:b/>
          <w:kern w:val="0"/>
          <w:sz w:val="24"/>
          <w:szCs w:val="24"/>
          <w:lang w:val="en-GB" w:eastAsia="ro-MD"/>
          <w14:ligatures w14:val="none"/>
        </w:rPr>
      </w:pPr>
      <w:r w:rsidRPr="007860B5">
        <w:rPr>
          <w:rFonts w:ascii="Times New Roman" w:eastAsia="Times New Roman" w:hAnsi="Times New Roman" w:cs="Times New Roman"/>
          <w:b/>
          <w:kern w:val="0"/>
          <w:sz w:val="24"/>
          <w:szCs w:val="24"/>
          <w:lang w:val="en-GB" w:eastAsia="ro-MD"/>
          <w14:ligatures w14:val="none"/>
        </w:rPr>
        <w:t>GENERAL PROVISIONS</w:t>
      </w:r>
    </w:p>
    <w:bookmarkEnd w:id="2"/>
    <w:p w14:paraId="0FBE1560" w14:textId="77777777" w:rsidR="004B5416" w:rsidRPr="007860B5" w:rsidRDefault="004B5416" w:rsidP="004B5416">
      <w:pPr>
        <w:spacing w:after="0" w:line="240" w:lineRule="auto"/>
        <w:rPr>
          <w:rFonts w:ascii="Times New Roman" w:eastAsia="Times New Roman" w:hAnsi="Times New Roman" w:cs="Times New Roman"/>
          <w:kern w:val="0"/>
          <w:sz w:val="24"/>
          <w:szCs w:val="24"/>
          <w:lang w:val="en-GB" w:eastAsia="ro-MD"/>
          <w14:ligatures w14:val="none"/>
        </w:rPr>
      </w:pPr>
    </w:p>
    <w:p w14:paraId="64F2B2C2" w14:textId="502589A4" w:rsidR="00B65ABB" w:rsidRPr="007860B5" w:rsidRDefault="00621EE2" w:rsidP="0035162D">
      <w:pPr>
        <w:rPr>
          <w:rFonts w:ascii="Times New Roman" w:hAnsi="Times New Roman" w:cs="Times New Roman"/>
          <w:b/>
          <w:sz w:val="24"/>
          <w:szCs w:val="24"/>
          <w:lang w:val="en-GB"/>
        </w:rPr>
      </w:pPr>
      <w:r w:rsidRPr="007860B5">
        <w:rPr>
          <w:rFonts w:ascii="Times New Roman" w:hAnsi="Times New Roman" w:cs="Times New Roman"/>
          <w:b/>
          <w:sz w:val="24"/>
          <w:szCs w:val="24"/>
          <w:lang w:val="en-GB"/>
        </w:rPr>
        <w:t>Section 1. Scope</w:t>
      </w:r>
    </w:p>
    <w:p w14:paraId="48D69945" w14:textId="3D6A5CAF" w:rsidR="0035162D" w:rsidRPr="007860B5" w:rsidRDefault="0035162D"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w:t>
      </w:r>
      <w:r w:rsidRPr="007860B5">
        <w:rPr>
          <w:rFonts w:ascii="Times New Roman" w:hAnsi="Times New Roman" w:cs="Times New Roman"/>
          <w:bCs/>
          <w:sz w:val="24"/>
          <w:szCs w:val="24"/>
          <w:lang w:val="en-GB"/>
        </w:rPr>
        <w:t xml:space="preserve"> </w:t>
      </w:r>
      <w:r w:rsidR="00621EE2" w:rsidRPr="007860B5">
        <w:rPr>
          <w:rFonts w:ascii="Times New Roman" w:hAnsi="Times New Roman" w:cs="Times New Roman"/>
          <w:bCs/>
          <w:sz w:val="24"/>
          <w:szCs w:val="24"/>
          <w:lang w:val="en-GB"/>
        </w:rPr>
        <w:t xml:space="preserve">This Regulation </w:t>
      </w:r>
      <w:r w:rsidR="00B72A24" w:rsidRPr="007860B5">
        <w:rPr>
          <w:rFonts w:ascii="Times New Roman" w:hAnsi="Times New Roman" w:cs="Times New Roman"/>
          <w:bCs/>
          <w:sz w:val="24"/>
          <w:szCs w:val="24"/>
          <w:lang w:val="en-GB"/>
        </w:rPr>
        <w:t>lays down</w:t>
      </w:r>
      <w:r w:rsidR="00621EE2" w:rsidRPr="007860B5">
        <w:rPr>
          <w:rFonts w:ascii="Times New Roman" w:hAnsi="Times New Roman" w:cs="Times New Roman"/>
          <w:bCs/>
          <w:sz w:val="24"/>
          <w:szCs w:val="24"/>
          <w:lang w:val="en-GB"/>
        </w:rPr>
        <w:t xml:space="preserve"> rules on own funds requirements for operational risk under the standardised approach, for the purpose of calculating own funds requirements in accordance with the normative acts of the National Bank of Moldova on own funds and capital requirements</w:t>
      </w:r>
      <w:r w:rsidR="007F6998" w:rsidRPr="007860B5">
        <w:rPr>
          <w:rFonts w:ascii="Times New Roman" w:hAnsi="Times New Roman" w:cs="Times New Roman"/>
          <w:bCs/>
          <w:sz w:val="24"/>
          <w:szCs w:val="24"/>
          <w:lang w:val="en-GB"/>
        </w:rPr>
        <w:t>.</w:t>
      </w:r>
    </w:p>
    <w:p w14:paraId="6BC2CD79" w14:textId="45235BC0" w:rsidR="0035162D" w:rsidRPr="007860B5" w:rsidRDefault="0035162D"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w:t>
      </w:r>
      <w:r w:rsidRPr="007860B5">
        <w:rPr>
          <w:rFonts w:ascii="Times New Roman" w:hAnsi="Times New Roman" w:cs="Times New Roman"/>
          <w:bCs/>
          <w:sz w:val="24"/>
          <w:szCs w:val="24"/>
          <w:lang w:val="en-GB"/>
        </w:rPr>
        <w:t xml:space="preserve"> </w:t>
      </w:r>
      <w:r w:rsidR="00621EE2" w:rsidRPr="007860B5">
        <w:rPr>
          <w:rFonts w:ascii="Times New Roman" w:hAnsi="Times New Roman" w:cs="Times New Roman"/>
          <w:bCs/>
          <w:sz w:val="24"/>
          <w:szCs w:val="24"/>
          <w:lang w:val="en-GB"/>
        </w:rPr>
        <w:t>This Regulation shall apply to legal entities banks in the Republic of Moldova, as well as branches in the Republic of Moldova of banks from other countries</w:t>
      </w:r>
      <w:r w:rsidRPr="007860B5">
        <w:rPr>
          <w:rFonts w:ascii="Times New Roman" w:hAnsi="Times New Roman" w:cs="Times New Roman"/>
          <w:bCs/>
          <w:sz w:val="24"/>
          <w:szCs w:val="24"/>
          <w:lang w:val="en-GB"/>
        </w:rPr>
        <w:t>.</w:t>
      </w:r>
    </w:p>
    <w:p w14:paraId="58D6D5F1" w14:textId="0B605620" w:rsidR="0035162D" w:rsidRPr="007860B5" w:rsidRDefault="0035162D"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w:t>
      </w:r>
      <w:r w:rsidRPr="007860B5">
        <w:rPr>
          <w:rFonts w:ascii="Times New Roman" w:hAnsi="Times New Roman" w:cs="Times New Roman"/>
          <w:bCs/>
          <w:sz w:val="24"/>
          <w:szCs w:val="24"/>
          <w:lang w:val="en-GB"/>
        </w:rPr>
        <w:t xml:space="preserve"> </w:t>
      </w:r>
      <w:r w:rsidR="00621EE2" w:rsidRPr="007860B5">
        <w:rPr>
          <w:rFonts w:ascii="Times New Roman" w:hAnsi="Times New Roman" w:cs="Times New Roman"/>
          <w:bCs/>
          <w:sz w:val="24"/>
          <w:szCs w:val="24"/>
          <w:lang w:val="en-GB"/>
        </w:rPr>
        <w:t xml:space="preserve">Banks shall comply with the obligations set out in this Regulation on an individual basis. Where applicable, banks shall comply with the obligations set out in this Regulation </w:t>
      </w:r>
      <w:proofErr w:type="gramStart"/>
      <w:r w:rsidR="00621EE2" w:rsidRPr="007860B5">
        <w:rPr>
          <w:rFonts w:ascii="Times New Roman" w:hAnsi="Times New Roman" w:cs="Times New Roman"/>
          <w:bCs/>
          <w:sz w:val="24"/>
          <w:szCs w:val="24"/>
          <w:lang w:val="en-GB"/>
        </w:rPr>
        <w:t>on the basis of</w:t>
      </w:r>
      <w:proofErr w:type="gramEnd"/>
      <w:r w:rsidR="00621EE2" w:rsidRPr="007860B5">
        <w:rPr>
          <w:rFonts w:ascii="Times New Roman" w:hAnsi="Times New Roman" w:cs="Times New Roman"/>
          <w:bCs/>
          <w:sz w:val="24"/>
          <w:szCs w:val="24"/>
          <w:lang w:val="en-GB"/>
        </w:rPr>
        <w:t xml:space="preserve"> their consolidated situation, to the extent and in accordance with the methods stipulated in Chapter IV of the Regulation on the consolidated supervision of banks, approved by Decision No 101/2020 of the Executive Board of the National Bank of Moldova.</w:t>
      </w:r>
    </w:p>
    <w:p w14:paraId="0A8CD72F" w14:textId="0561EE34" w:rsidR="0035162D" w:rsidRPr="007860B5" w:rsidRDefault="00621EE2" w:rsidP="0035162D">
      <w:pPr>
        <w:rPr>
          <w:rFonts w:ascii="Times New Roman" w:hAnsi="Times New Roman" w:cs="Times New Roman"/>
          <w:b/>
          <w:sz w:val="24"/>
          <w:szCs w:val="24"/>
          <w:lang w:val="en-GB"/>
        </w:rPr>
      </w:pPr>
      <w:r w:rsidRPr="007860B5">
        <w:rPr>
          <w:rFonts w:ascii="Times New Roman" w:hAnsi="Times New Roman" w:cs="Times New Roman"/>
          <w:b/>
          <w:sz w:val="24"/>
          <w:szCs w:val="24"/>
          <w:lang w:val="en-GB"/>
        </w:rPr>
        <w:t>Section 2. Definitions</w:t>
      </w:r>
    </w:p>
    <w:p w14:paraId="060F6503" w14:textId="001A0062" w:rsidR="0035162D" w:rsidRPr="007860B5" w:rsidRDefault="0035162D"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w:t>
      </w:r>
      <w:r w:rsidRPr="007860B5">
        <w:rPr>
          <w:rFonts w:ascii="Times New Roman" w:hAnsi="Times New Roman" w:cs="Times New Roman"/>
          <w:bCs/>
          <w:sz w:val="24"/>
          <w:szCs w:val="24"/>
          <w:lang w:val="en-GB"/>
        </w:rPr>
        <w:t xml:space="preserve"> </w:t>
      </w:r>
      <w:r w:rsidR="00BE16A0" w:rsidRPr="007860B5">
        <w:rPr>
          <w:rFonts w:ascii="Times New Roman" w:hAnsi="Times New Roman" w:cs="Times New Roman"/>
          <w:bCs/>
          <w:sz w:val="24"/>
          <w:szCs w:val="24"/>
          <w:lang w:val="en-GB"/>
        </w:rPr>
        <w:t xml:space="preserve">The terms and expressions used in this Regulation have the meaning provided in Law No 202/2017 on </w:t>
      </w:r>
      <w:r w:rsidR="000D1202">
        <w:rPr>
          <w:rFonts w:ascii="Times New Roman" w:hAnsi="Times New Roman" w:cs="Times New Roman"/>
          <w:bCs/>
          <w:sz w:val="24"/>
          <w:szCs w:val="24"/>
          <w:lang w:val="en-GB"/>
        </w:rPr>
        <w:t>the</w:t>
      </w:r>
      <w:r w:rsidR="00BE16A0" w:rsidRPr="007860B5">
        <w:rPr>
          <w:rFonts w:ascii="Times New Roman" w:hAnsi="Times New Roman" w:cs="Times New Roman"/>
          <w:bCs/>
          <w:sz w:val="24"/>
          <w:szCs w:val="24"/>
          <w:lang w:val="en-GB"/>
        </w:rPr>
        <w:t xml:space="preserve"> activity</w:t>
      </w:r>
      <w:r w:rsidR="000D1202">
        <w:rPr>
          <w:rFonts w:ascii="Times New Roman" w:hAnsi="Times New Roman" w:cs="Times New Roman"/>
          <w:bCs/>
          <w:sz w:val="24"/>
          <w:szCs w:val="24"/>
          <w:lang w:val="en-GB"/>
        </w:rPr>
        <w:t xml:space="preserve"> of banks</w:t>
      </w:r>
      <w:r w:rsidR="00BE16A0" w:rsidRPr="007860B5">
        <w:rPr>
          <w:rFonts w:ascii="Times New Roman" w:hAnsi="Times New Roman" w:cs="Times New Roman"/>
          <w:bCs/>
          <w:sz w:val="24"/>
          <w:szCs w:val="24"/>
          <w:lang w:val="en-GB"/>
        </w:rPr>
        <w:t xml:space="preserve"> (hereinafter – Law No 202/2017) and in the normative acts of the National Bank of Moldova issued in application of the </w:t>
      </w:r>
      <w:proofErr w:type="gramStart"/>
      <w:r w:rsidR="00BE16A0" w:rsidRPr="007860B5">
        <w:rPr>
          <w:rFonts w:ascii="Times New Roman" w:hAnsi="Times New Roman" w:cs="Times New Roman"/>
          <w:bCs/>
          <w:sz w:val="24"/>
          <w:szCs w:val="24"/>
          <w:lang w:val="en-GB"/>
        </w:rPr>
        <w:t>aforementioned law</w:t>
      </w:r>
      <w:proofErr w:type="gramEnd"/>
      <w:r w:rsidRPr="007860B5">
        <w:rPr>
          <w:rFonts w:ascii="Times New Roman" w:hAnsi="Times New Roman" w:cs="Times New Roman"/>
          <w:bCs/>
          <w:sz w:val="24"/>
          <w:szCs w:val="24"/>
          <w:lang w:val="en-GB"/>
        </w:rPr>
        <w:t>.</w:t>
      </w:r>
    </w:p>
    <w:p w14:paraId="3A474237" w14:textId="66FBB8A0" w:rsidR="0035162D" w:rsidRPr="007860B5" w:rsidRDefault="0035162D"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w:t>
      </w:r>
      <w:r w:rsidRPr="007860B5">
        <w:rPr>
          <w:rFonts w:ascii="Times New Roman" w:hAnsi="Times New Roman" w:cs="Times New Roman"/>
          <w:bCs/>
          <w:sz w:val="24"/>
          <w:szCs w:val="24"/>
          <w:lang w:val="en-GB"/>
        </w:rPr>
        <w:t xml:space="preserve"> </w:t>
      </w:r>
      <w:r w:rsidR="00BE16A0" w:rsidRPr="007860B5">
        <w:rPr>
          <w:rFonts w:ascii="Times New Roman" w:hAnsi="Times New Roman" w:cs="Times New Roman"/>
          <w:bCs/>
          <w:sz w:val="24"/>
          <w:szCs w:val="24"/>
          <w:lang w:val="en-GB"/>
        </w:rPr>
        <w:t>For the purposes of this Regulation, the following definitions shall apply</w:t>
      </w:r>
      <w:r w:rsidRPr="007860B5">
        <w:rPr>
          <w:rFonts w:ascii="Times New Roman" w:hAnsi="Times New Roman" w:cs="Times New Roman"/>
          <w:bCs/>
          <w:sz w:val="24"/>
          <w:szCs w:val="24"/>
          <w:lang w:val="en-GB"/>
        </w:rPr>
        <w:t>:</w:t>
      </w:r>
    </w:p>
    <w:p w14:paraId="4E253F3C" w14:textId="344A4A10" w:rsidR="00E56771" w:rsidRPr="007860B5" w:rsidRDefault="00E56771" w:rsidP="0035162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w:t>
      </w:r>
      <w:r w:rsidR="00480B56" w:rsidRPr="007860B5">
        <w:rPr>
          <w:rFonts w:ascii="Times New Roman" w:hAnsi="Times New Roman" w:cs="Times New Roman"/>
          <w:bCs/>
          <w:sz w:val="24"/>
          <w:szCs w:val="24"/>
          <w:lang w:val="en-GB"/>
        </w:rPr>
        <w:t>1</w:t>
      </w:r>
      <w:r w:rsidRPr="007860B5">
        <w:rPr>
          <w:rFonts w:ascii="Times New Roman" w:hAnsi="Times New Roman" w:cs="Times New Roman"/>
          <w:bCs/>
          <w:sz w:val="24"/>
          <w:szCs w:val="24"/>
          <w:lang w:val="en-GB"/>
        </w:rPr>
        <w:t xml:space="preserve">. </w:t>
      </w:r>
      <w:r w:rsidR="0023442A" w:rsidRPr="007860B5">
        <w:rPr>
          <w:rFonts w:ascii="Times New Roman" w:hAnsi="Times New Roman" w:cs="Times New Roman"/>
          <w:bCs/>
          <w:sz w:val="24"/>
          <w:szCs w:val="24"/>
          <w:lang w:val="en-GB"/>
        </w:rPr>
        <w:t>“</w:t>
      </w:r>
      <w:proofErr w:type="gramStart"/>
      <w:r w:rsidR="007860B5" w:rsidRPr="007860B5">
        <w:rPr>
          <w:rFonts w:ascii="Times New Roman" w:hAnsi="Times New Roman" w:cs="Times New Roman"/>
          <w:bCs/>
          <w:sz w:val="24"/>
          <w:szCs w:val="24"/>
          <w:lang w:val="en-GB"/>
        </w:rPr>
        <w:t>o</w:t>
      </w:r>
      <w:r w:rsidR="0023442A" w:rsidRPr="007860B5">
        <w:rPr>
          <w:rFonts w:ascii="Times New Roman" w:hAnsi="Times New Roman" w:cs="Times New Roman"/>
          <w:bCs/>
          <w:sz w:val="24"/>
          <w:szCs w:val="24"/>
          <w:lang w:val="en-GB"/>
        </w:rPr>
        <w:t>perational</w:t>
      </w:r>
      <w:proofErr w:type="gramEnd"/>
      <w:r w:rsidR="00BE16A0" w:rsidRPr="007860B5">
        <w:rPr>
          <w:rFonts w:ascii="Times New Roman" w:hAnsi="Times New Roman" w:cs="Times New Roman"/>
          <w:bCs/>
          <w:sz w:val="24"/>
          <w:szCs w:val="24"/>
          <w:lang w:val="en-GB"/>
        </w:rPr>
        <w:t xml:space="preserve"> risk event</w:t>
      </w:r>
      <w:r w:rsidR="0023442A" w:rsidRPr="007860B5">
        <w:rPr>
          <w:rFonts w:ascii="Times New Roman" w:hAnsi="Times New Roman" w:cs="Times New Roman"/>
          <w:bCs/>
          <w:sz w:val="24"/>
          <w:szCs w:val="24"/>
          <w:lang w:val="en-GB"/>
        </w:rPr>
        <w:t>”</w:t>
      </w:r>
      <w:r w:rsidR="00BE16A0" w:rsidRPr="007860B5">
        <w:rPr>
          <w:rFonts w:ascii="Times New Roman" w:hAnsi="Times New Roman" w:cs="Times New Roman"/>
          <w:bCs/>
          <w:sz w:val="24"/>
          <w:szCs w:val="24"/>
          <w:lang w:val="en-GB"/>
        </w:rPr>
        <w:t xml:space="preserve"> means any event </w:t>
      </w:r>
      <w:r w:rsidR="004444BE">
        <w:rPr>
          <w:rFonts w:ascii="Times New Roman" w:hAnsi="Times New Roman" w:cs="Times New Roman"/>
          <w:bCs/>
          <w:sz w:val="24"/>
          <w:szCs w:val="24"/>
          <w:lang w:val="en-GB"/>
        </w:rPr>
        <w:t>linked</w:t>
      </w:r>
      <w:r w:rsidR="00BE16A0" w:rsidRPr="007860B5">
        <w:rPr>
          <w:rFonts w:ascii="Times New Roman" w:hAnsi="Times New Roman" w:cs="Times New Roman"/>
          <w:bCs/>
          <w:sz w:val="24"/>
          <w:szCs w:val="24"/>
          <w:lang w:val="en-GB"/>
        </w:rPr>
        <w:t xml:space="preserve"> to an operational risk </w:t>
      </w:r>
      <w:r w:rsidR="004444BE">
        <w:rPr>
          <w:rFonts w:ascii="Times New Roman" w:hAnsi="Times New Roman" w:cs="Times New Roman"/>
          <w:bCs/>
          <w:sz w:val="24"/>
          <w:szCs w:val="24"/>
          <w:lang w:val="en-GB"/>
        </w:rPr>
        <w:t>which</w:t>
      </w:r>
      <w:r w:rsidR="00BE16A0" w:rsidRPr="007860B5">
        <w:rPr>
          <w:rFonts w:ascii="Times New Roman" w:hAnsi="Times New Roman" w:cs="Times New Roman"/>
          <w:bCs/>
          <w:sz w:val="24"/>
          <w:szCs w:val="24"/>
          <w:lang w:val="en-GB"/>
        </w:rPr>
        <w:t xml:space="preserve"> generates a loss or multiple losses</w:t>
      </w:r>
      <w:r w:rsidR="004444BE">
        <w:rPr>
          <w:rFonts w:ascii="Times New Roman" w:hAnsi="Times New Roman" w:cs="Times New Roman"/>
          <w:bCs/>
          <w:sz w:val="24"/>
          <w:szCs w:val="24"/>
          <w:lang w:val="en-GB"/>
        </w:rPr>
        <w:t>,</w:t>
      </w:r>
      <w:r w:rsidR="00BE16A0" w:rsidRPr="007860B5">
        <w:rPr>
          <w:rFonts w:ascii="Times New Roman" w:hAnsi="Times New Roman" w:cs="Times New Roman"/>
          <w:bCs/>
          <w:sz w:val="24"/>
          <w:szCs w:val="24"/>
          <w:lang w:val="en-GB"/>
        </w:rPr>
        <w:t xml:space="preserve"> </w:t>
      </w:r>
      <w:r w:rsidR="004444BE">
        <w:rPr>
          <w:rFonts w:ascii="Times New Roman" w:hAnsi="Times New Roman" w:cs="Times New Roman"/>
          <w:bCs/>
          <w:sz w:val="24"/>
          <w:szCs w:val="24"/>
          <w:lang w:val="en-GB"/>
        </w:rPr>
        <w:t>within</w:t>
      </w:r>
      <w:r w:rsidR="00BE16A0" w:rsidRPr="007860B5">
        <w:rPr>
          <w:rFonts w:ascii="Times New Roman" w:hAnsi="Times New Roman" w:cs="Times New Roman"/>
          <w:bCs/>
          <w:sz w:val="24"/>
          <w:szCs w:val="24"/>
          <w:lang w:val="en-GB"/>
        </w:rPr>
        <w:t xml:space="preserve"> one or </w:t>
      </w:r>
      <w:r w:rsidR="004444BE">
        <w:rPr>
          <w:rFonts w:ascii="Times New Roman" w:hAnsi="Times New Roman" w:cs="Times New Roman"/>
          <w:bCs/>
          <w:sz w:val="24"/>
          <w:szCs w:val="24"/>
          <w:lang w:val="en-GB"/>
        </w:rPr>
        <w:t>multiple</w:t>
      </w:r>
      <w:r w:rsidR="00BE16A0" w:rsidRPr="007860B5">
        <w:rPr>
          <w:rFonts w:ascii="Times New Roman" w:hAnsi="Times New Roman" w:cs="Times New Roman"/>
          <w:bCs/>
          <w:sz w:val="24"/>
          <w:szCs w:val="24"/>
          <w:lang w:val="en-GB"/>
        </w:rPr>
        <w:t xml:space="preserve"> financial </w:t>
      </w:r>
      <w:proofErr w:type="gramStart"/>
      <w:r w:rsidR="00BE16A0" w:rsidRPr="007860B5">
        <w:rPr>
          <w:rFonts w:ascii="Times New Roman" w:hAnsi="Times New Roman" w:cs="Times New Roman"/>
          <w:bCs/>
          <w:sz w:val="24"/>
          <w:szCs w:val="24"/>
          <w:lang w:val="en-GB"/>
        </w:rPr>
        <w:t>years;</w:t>
      </w:r>
      <w:proofErr w:type="gramEnd"/>
    </w:p>
    <w:p w14:paraId="1B6BA44D" w14:textId="6D5A4513" w:rsidR="00E56771" w:rsidRPr="007860B5" w:rsidRDefault="00E75D1B" w:rsidP="0035162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w:t>
      </w:r>
      <w:r w:rsidR="00480B56" w:rsidRPr="007860B5">
        <w:rPr>
          <w:rFonts w:ascii="Times New Roman" w:hAnsi="Times New Roman" w:cs="Times New Roman"/>
          <w:bCs/>
          <w:sz w:val="24"/>
          <w:szCs w:val="24"/>
          <w:lang w:val="en-GB"/>
        </w:rPr>
        <w:t>2</w:t>
      </w:r>
      <w:r w:rsidRPr="007860B5">
        <w:rPr>
          <w:rFonts w:ascii="Times New Roman" w:hAnsi="Times New Roman" w:cs="Times New Roman"/>
          <w:bCs/>
          <w:sz w:val="24"/>
          <w:szCs w:val="24"/>
          <w:lang w:val="en-GB"/>
        </w:rPr>
        <w:t xml:space="preserve">. </w:t>
      </w:r>
      <w:r w:rsidR="0023442A" w:rsidRPr="007860B5">
        <w:rPr>
          <w:rFonts w:ascii="Times New Roman" w:hAnsi="Times New Roman" w:cs="Times New Roman"/>
          <w:bCs/>
          <w:sz w:val="24"/>
          <w:szCs w:val="24"/>
          <w:lang w:val="en-GB"/>
        </w:rPr>
        <w:t>“</w:t>
      </w:r>
      <w:proofErr w:type="gramStart"/>
      <w:r w:rsidR="007860B5" w:rsidRPr="007860B5">
        <w:rPr>
          <w:rFonts w:ascii="Times New Roman" w:hAnsi="Times New Roman" w:cs="Times New Roman"/>
          <w:bCs/>
          <w:sz w:val="24"/>
          <w:szCs w:val="24"/>
          <w:lang w:val="en-GB"/>
        </w:rPr>
        <w:t>a</w:t>
      </w:r>
      <w:r w:rsidR="0023442A" w:rsidRPr="007860B5">
        <w:rPr>
          <w:rFonts w:ascii="Times New Roman" w:hAnsi="Times New Roman" w:cs="Times New Roman"/>
          <w:bCs/>
          <w:sz w:val="24"/>
          <w:szCs w:val="24"/>
          <w:lang w:val="en-GB"/>
        </w:rPr>
        <w:t>ggregate</w:t>
      </w:r>
      <w:proofErr w:type="gramEnd"/>
      <w:r w:rsidR="00BE16A0" w:rsidRPr="007860B5">
        <w:rPr>
          <w:rFonts w:ascii="Times New Roman" w:hAnsi="Times New Roman" w:cs="Times New Roman"/>
          <w:bCs/>
          <w:sz w:val="24"/>
          <w:szCs w:val="24"/>
          <w:lang w:val="en-GB"/>
        </w:rPr>
        <w:t xml:space="preserve"> gross loss</w:t>
      </w:r>
      <w:r w:rsidR="0023442A" w:rsidRPr="007860B5">
        <w:rPr>
          <w:rFonts w:ascii="Times New Roman" w:hAnsi="Times New Roman" w:cs="Times New Roman"/>
          <w:bCs/>
          <w:sz w:val="24"/>
          <w:szCs w:val="24"/>
          <w:lang w:val="en-GB"/>
        </w:rPr>
        <w:t>”</w:t>
      </w:r>
      <w:r w:rsidR="00BE16A0" w:rsidRPr="007860B5">
        <w:rPr>
          <w:rFonts w:ascii="Times New Roman" w:hAnsi="Times New Roman" w:cs="Times New Roman"/>
          <w:bCs/>
          <w:sz w:val="24"/>
          <w:szCs w:val="24"/>
          <w:lang w:val="en-GB"/>
        </w:rPr>
        <w:t xml:space="preserve"> means the sum of all gross losses </w:t>
      </w:r>
      <w:r w:rsidR="004444BE">
        <w:rPr>
          <w:rFonts w:ascii="Times New Roman" w:hAnsi="Times New Roman" w:cs="Times New Roman"/>
          <w:bCs/>
          <w:sz w:val="24"/>
          <w:szCs w:val="24"/>
          <w:lang w:val="en-GB"/>
        </w:rPr>
        <w:t>linked</w:t>
      </w:r>
      <w:r w:rsidR="00BE16A0" w:rsidRPr="007860B5">
        <w:rPr>
          <w:rFonts w:ascii="Times New Roman" w:hAnsi="Times New Roman" w:cs="Times New Roman"/>
          <w:bCs/>
          <w:sz w:val="24"/>
          <w:szCs w:val="24"/>
          <w:lang w:val="en-GB"/>
        </w:rPr>
        <w:t xml:space="preserve"> to the same operational risk event </w:t>
      </w:r>
      <w:r w:rsidR="004444BE">
        <w:rPr>
          <w:rFonts w:ascii="Times New Roman" w:hAnsi="Times New Roman" w:cs="Times New Roman"/>
          <w:bCs/>
          <w:sz w:val="24"/>
          <w:szCs w:val="24"/>
          <w:lang w:val="en-GB"/>
        </w:rPr>
        <w:t>over</w:t>
      </w:r>
      <w:r w:rsidR="00BE16A0" w:rsidRPr="007860B5">
        <w:rPr>
          <w:rFonts w:ascii="Times New Roman" w:hAnsi="Times New Roman" w:cs="Times New Roman"/>
          <w:bCs/>
          <w:sz w:val="24"/>
          <w:szCs w:val="24"/>
          <w:lang w:val="en-GB"/>
        </w:rPr>
        <w:t xml:space="preserve"> one or </w:t>
      </w:r>
      <w:r w:rsidR="004444BE">
        <w:rPr>
          <w:rFonts w:ascii="Times New Roman" w:hAnsi="Times New Roman" w:cs="Times New Roman"/>
          <w:bCs/>
          <w:sz w:val="24"/>
          <w:szCs w:val="24"/>
          <w:lang w:val="en-GB"/>
        </w:rPr>
        <w:t>multiple</w:t>
      </w:r>
      <w:r w:rsidR="00BE16A0" w:rsidRPr="007860B5">
        <w:rPr>
          <w:rFonts w:ascii="Times New Roman" w:hAnsi="Times New Roman" w:cs="Times New Roman"/>
          <w:bCs/>
          <w:sz w:val="24"/>
          <w:szCs w:val="24"/>
          <w:lang w:val="en-GB"/>
        </w:rPr>
        <w:t xml:space="preserve"> financial </w:t>
      </w:r>
      <w:proofErr w:type="gramStart"/>
      <w:r w:rsidR="00BE16A0" w:rsidRPr="007860B5">
        <w:rPr>
          <w:rFonts w:ascii="Times New Roman" w:hAnsi="Times New Roman" w:cs="Times New Roman"/>
          <w:bCs/>
          <w:sz w:val="24"/>
          <w:szCs w:val="24"/>
          <w:lang w:val="en-GB"/>
        </w:rPr>
        <w:t>years</w:t>
      </w:r>
      <w:r w:rsidR="0023442A" w:rsidRPr="007860B5">
        <w:rPr>
          <w:rFonts w:ascii="Times New Roman" w:hAnsi="Times New Roman" w:cs="Times New Roman"/>
          <w:bCs/>
          <w:sz w:val="24"/>
          <w:szCs w:val="24"/>
          <w:lang w:val="en-GB"/>
        </w:rPr>
        <w:t>;</w:t>
      </w:r>
      <w:proofErr w:type="gramEnd"/>
    </w:p>
    <w:p w14:paraId="00D11CCC" w14:textId="2D3A81B6" w:rsidR="00E75D1B" w:rsidRPr="007860B5" w:rsidRDefault="00E75D1B" w:rsidP="0035162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lastRenderedPageBreak/>
        <w:t>5.</w:t>
      </w:r>
      <w:r w:rsidR="00480B56" w:rsidRPr="007860B5">
        <w:rPr>
          <w:rFonts w:ascii="Times New Roman" w:hAnsi="Times New Roman" w:cs="Times New Roman"/>
          <w:bCs/>
          <w:sz w:val="24"/>
          <w:szCs w:val="24"/>
          <w:lang w:val="en-GB"/>
        </w:rPr>
        <w:t>3</w:t>
      </w:r>
      <w:r w:rsidRPr="007860B5">
        <w:rPr>
          <w:rFonts w:ascii="Times New Roman" w:hAnsi="Times New Roman" w:cs="Times New Roman"/>
          <w:bCs/>
          <w:sz w:val="24"/>
          <w:szCs w:val="24"/>
          <w:lang w:val="en-GB"/>
        </w:rPr>
        <w:t xml:space="preserve">. </w:t>
      </w:r>
      <w:r w:rsidR="0023442A" w:rsidRPr="007860B5">
        <w:rPr>
          <w:rFonts w:ascii="Times New Roman" w:hAnsi="Times New Roman" w:cs="Times New Roman"/>
          <w:bCs/>
          <w:sz w:val="24"/>
          <w:szCs w:val="24"/>
          <w:lang w:val="en-GB"/>
        </w:rPr>
        <w:t>“</w:t>
      </w:r>
      <w:proofErr w:type="gramStart"/>
      <w:r w:rsidR="007860B5" w:rsidRPr="007860B5">
        <w:rPr>
          <w:rFonts w:ascii="Times New Roman" w:hAnsi="Times New Roman" w:cs="Times New Roman"/>
          <w:bCs/>
          <w:sz w:val="24"/>
          <w:szCs w:val="24"/>
          <w:lang w:val="en-GB"/>
        </w:rPr>
        <w:t>a</w:t>
      </w:r>
      <w:r w:rsidR="0023442A" w:rsidRPr="007860B5">
        <w:rPr>
          <w:rFonts w:ascii="Times New Roman" w:hAnsi="Times New Roman" w:cs="Times New Roman"/>
          <w:bCs/>
          <w:sz w:val="24"/>
          <w:szCs w:val="24"/>
          <w:lang w:val="en-GB"/>
        </w:rPr>
        <w:t>ggregate</w:t>
      </w:r>
      <w:proofErr w:type="gramEnd"/>
      <w:r w:rsidR="00BE16A0" w:rsidRPr="007860B5">
        <w:rPr>
          <w:rFonts w:ascii="Times New Roman" w:hAnsi="Times New Roman" w:cs="Times New Roman"/>
          <w:bCs/>
          <w:sz w:val="24"/>
          <w:szCs w:val="24"/>
          <w:lang w:val="en-GB"/>
        </w:rPr>
        <w:t xml:space="preserve"> net loss</w:t>
      </w:r>
      <w:r w:rsidR="0023442A" w:rsidRPr="007860B5">
        <w:rPr>
          <w:rFonts w:ascii="Times New Roman" w:hAnsi="Times New Roman" w:cs="Times New Roman"/>
          <w:bCs/>
          <w:sz w:val="24"/>
          <w:szCs w:val="24"/>
          <w:lang w:val="en-GB"/>
        </w:rPr>
        <w:t>”</w:t>
      </w:r>
      <w:r w:rsidR="00BE16A0" w:rsidRPr="007860B5">
        <w:rPr>
          <w:rFonts w:ascii="Times New Roman" w:hAnsi="Times New Roman" w:cs="Times New Roman"/>
          <w:bCs/>
          <w:sz w:val="24"/>
          <w:szCs w:val="24"/>
          <w:lang w:val="en-GB"/>
        </w:rPr>
        <w:t xml:space="preserve"> means the sum of all net losses </w:t>
      </w:r>
      <w:r w:rsidR="004444BE">
        <w:rPr>
          <w:rFonts w:ascii="Times New Roman" w:hAnsi="Times New Roman" w:cs="Times New Roman"/>
          <w:bCs/>
          <w:sz w:val="24"/>
          <w:szCs w:val="24"/>
          <w:lang w:val="en-GB"/>
        </w:rPr>
        <w:t>linked</w:t>
      </w:r>
      <w:r w:rsidR="00BE16A0" w:rsidRPr="007860B5">
        <w:rPr>
          <w:rFonts w:ascii="Times New Roman" w:hAnsi="Times New Roman" w:cs="Times New Roman"/>
          <w:bCs/>
          <w:sz w:val="24"/>
          <w:szCs w:val="24"/>
          <w:lang w:val="en-GB"/>
        </w:rPr>
        <w:t xml:space="preserve"> to the same operational risk event </w:t>
      </w:r>
      <w:r w:rsidR="004444BE">
        <w:rPr>
          <w:rFonts w:ascii="Times New Roman" w:hAnsi="Times New Roman" w:cs="Times New Roman"/>
          <w:bCs/>
          <w:sz w:val="24"/>
          <w:szCs w:val="24"/>
          <w:lang w:val="en-GB"/>
        </w:rPr>
        <w:t>over</w:t>
      </w:r>
      <w:r w:rsidR="00BE16A0" w:rsidRPr="007860B5">
        <w:rPr>
          <w:rFonts w:ascii="Times New Roman" w:hAnsi="Times New Roman" w:cs="Times New Roman"/>
          <w:bCs/>
          <w:sz w:val="24"/>
          <w:szCs w:val="24"/>
          <w:lang w:val="en-GB"/>
        </w:rPr>
        <w:t xml:space="preserve"> one or </w:t>
      </w:r>
      <w:r w:rsidR="004444BE">
        <w:rPr>
          <w:rFonts w:ascii="Times New Roman" w:hAnsi="Times New Roman" w:cs="Times New Roman"/>
          <w:bCs/>
          <w:sz w:val="24"/>
          <w:szCs w:val="24"/>
          <w:lang w:val="en-GB"/>
        </w:rPr>
        <w:t>multiple</w:t>
      </w:r>
      <w:r w:rsidR="00BE16A0" w:rsidRPr="007860B5">
        <w:rPr>
          <w:rFonts w:ascii="Times New Roman" w:hAnsi="Times New Roman" w:cs="Times New Roman"/>
          <w:bCs/>
          <w:sz w:val="24"/>
          <w:szCs w:val="24"/>
          <w:lang w:val="en-GB"/>
        </w:rPr>
        <w:t xml:space="preserve"> financial </w:t>
      </w:r>
      <w:proofErr w:type="gramStart"/>
      <w:r w:rsidR="00BE16A0" w:rsidRPr="007860B5">
        <w:rPr>
          <w:rFonts w:ascii="Times New Roman" w:hAnsi="Times New Roman" w:cs="Times New Roman"/>
          <w:bCs/>
          <w:sz w:val="24"/>
          <w:szCs w:val="24"/>
          <w:lang w:val="en-GB"/>
        </w:rPr>
        <w:t>years</w:t>
      </w:r>
      <w:r w:rsidRPr="007860B5">
        <w:rPr>
          <w:rFonts w:ascii="Times New Roman" w:hAnsi="Times New Roman" w:cs="Times New Roman"/>
          <w:bCs/>
          <w:sz w:val="24"/>
          <w:szCs w:val="24"/>
          <w:lang w:val="en-GB"/>
        </w:rPr>
        <w:t>;</w:t>
      </w:r>
      <w:proofErr w:type="gramEnd"/>
    </w:p>
    <w:p w14:paraId="34BCFF18" w14:textId="291DF5D9" w:rsidR="00E75D1B" w:rsidRPr="007860B5" w:rsidRDefault="00E75D1B" w:rsidP="0035162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w:t>
      </w:r>
      <w:r w:rsidR="00480B56" w:rsidRPr="007860B5">
        <w:rPr>
          <w:rFonts w:ascii="Times New Roman" w:hAnsi="Times New Roman" w:cs="Times New Roman"/>
          <w:bCs/>
          <w:sz w:val="24"/>
          <w:szCs w:val="24"/>
          <w:lang w:val="en-GB"/>
        </w:rPr>
        <w:t>4</w:t>
      </w:r>
      <w:r w:rsidRPr="007860B5">
        <w:rPr>
          <w:rFonts w:ascii="Times New Roman" w:hAnsi="Times New Roman" w:cs="Times New Roman"/>
          <w:bCs/>
          <w:sz w:val="24"/>
          <w:szCs w:val="24"/>
          <w:lang w:val="en-GB"/>
        </w:rPr>
        <w:t xml:space="preserve">. </w:t>
      </w:r>
      <w:r w:rsidR="0023442A" w:rsidRPr="007860B5">
        <w:rPr>
          <w:rFonts w:ascii="Times New Roman" w:hAnsi="Times New Roman" w:cs="Times New Roman"/>
          <w:bCs/>
          <w:sz w:val="24"/>
          <w:szCs w:val="24"/>
          <w:lang w:val="en-GB"/>
        </w:rPr>
        <w:t>“</w:t>
      </w:r>
      <w:proofErr w:type="gramStart"/>
      <w:r w:rsidR="007860B5" w:rsidRPr="007860B5">
        <w:rPr>
          <w:rFonts w:ascii="Times New Roman" w:hAnsi="Times New Roman" w:cs="Times New Roman"/>
          <w:bCs/>
          <w:sz w:val="24"/>
          <w:szCs w:val="24"/>
          <w:lang w:val="en-GB"/>
        </w:rPr>
        <w:t>g</w:t>
      </w:r>
      <w:r w:rsidR="0023442A" w:rsidRPr="007860B5">
        <w:rPr>
          <w:rFonts w:ascii="Times New Roman" w:hAnsi="Times New Roman" w:cs="Times New Roman"/>
          <w:bCs/>
          <w:sz w:val="24"/>
          <w:szCs w:val="24"/>
          <w:lang w:val="en-GB"/>
        </w:rPr>
        <w:t>rouped</w:t>
      </w:r>
      <w:proofErr w:type="gramEnd"/>
      <w:r w:rsidR="00BE16A0" w:rsidRPr="007860B5">
        <w:rPr>
          <w:rFonts w:ascii="Times New Roman" w:hAnsi="Times New Roman" w:cs="Times New Roman"/>
          <w:bCs/>
          <w:sz w:val="24"/>
          <w:szCs w:val="24"/>
          <w:lang w:val="en-GB"/>
        </w:rPr>
        <w:t xml:space="preserve"> losses</w:t>
      </w:r>
      <w:r w:rsidR="0023442A" w:rsidRPr="007860B5">
        <w:rPr>
          <w:rFonts w:ascii="Times New Roman" w:hAnsi="Times New Roman" w:cs="Times New Roman"/>
          <w:bCs/>
          <w:sz w:val="24"/>
          <w:szCs w:val="24"/>
          <w:lang w:val="en-GB"/>
        </w:rPr>
        <w:t>”</w:t>
      </w:r>
      <w:r w:rsidR="00BE16A0" w:rsidRPr="007860B5">
        <w:rPr>
          <w:rFonts w:ascii="Times New Roman" w:hAnsi="Times New Roman" w:cs="Times New Roman"/>
          <w:bCs/>
          <w:sz w:val="24"/>
          <w:szCs w:val="24"/>
          <w:lang w:val="en-GB"/>
        </w:rPr>
        <w:t xml:space="preserve"> means all operational losses caused by a common trigger or root cause that could be grouped into </w:t>
      </w:r>
      <w:r w:rsidR="004444BE">
        <w:rPr>
          <w:rFonts w:ascii="Times New Roman" w:hAnsi="Times New Roman" w:cs="Times New Roman"/>
          <w:bCs/>
          <w:sz w:val="24"/>
          <w:szCs w:val="24"/>
          <w:lang w:val="en-GB"/>
        </w:rPr>
        <w:t xml:space="preserve">one </w:t>
      </w:r>
      <w:r w:rsidR="00BE16A0" w:rsidRPr="007860B5">
        <w:rPr>
          <w:rFonts w:ascii="Times New Roman" w:hAnsi="Times New Roman" w:cs="Times New Roman"/>
          <w:bCs/>
          <w:sz w:val="24"/>
          <w:szCs w:val="24"/>
          <w:lang w:val="en-GB"/>
        </w:rPr>
        <w:t>operational risk event.</w:t>
      </w:r>
    </w:p>
    <w:p w14:paraId="20CD0BDB" w14:textId="77777777" w:rsidR="00E75D1B" w:rsidRPr="007860B5" w:rsidRDefault="00E75D1B" w:rsidP="00E75D1B">
      <w:pPr>
        <w:rPr>
          <w:rFonts w:ascii="Times New Roman" w:hAnsi="Times New Roman" w:cs="Times New Roman"/>
          <w:b/>
          <w:bCs/>
          <w:sz w:val="24"/>
          <w:szCs w:val="24"/>
          <w:lang w:val="en-GB"/>
        </w:rPr>
      </w:pPr>
    </w:p>
    <w:p w14:paraId="4252EA72" w14:textId="32A98D9E" w:rsidR="00E75D1B" w:rsidRPr="007860B5" w:rsidRDefault="00B72A24" w:rsidP="00AF1228">
      <w:pPr>
        <w:jc w:val="cente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Chapter</w:t>
      </w:r>
      <w:r w:rsidR="00E75D1B" w:rsidRPr="007860B5">
        <w:rPr>
          <w:rFonts w:ascii="Times New Roman" w:hAnsi="Times New Roman" w:cs="Times New Roman"/>
          <w:b/>
          <w:bCs/>
          <w:sz w:val="24"/>
          <w:szCs w:val="24"/>
          <w:lang w:val="en-GB"/>
        </w:rPr>
        <w:t xml:space="preserve"> II</w:t>
      </w:r>
    </w:p>
    <w:p w14:paraId="406CF2FE" w14:textId="312C3F50" w:rsidR="00E75D1B" w:rsidRPr="007860B5" w:rsidRDefault="00B72A24" w:rsidP="00AF1228">
      <w:pPr>
        <w:jc w:val="cente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OWN FUNDS REQUIREMENT FOR OPERATIONAL RISK</w:t>
      </w:r>
    </w:p>
    <w:p w14:paraId="1997FE41" w14:textId="66C8F73B" w:rsidR="00614A88" w:rsidRPr="007860B5" w:rsidRDefault="00B72A24" w:rsidP="00E75D1B">
      <w:pPr>
        <w:rPr>
          <w:rFonts w:ascii="Times New Roman" w:hAnsi="Times New Roman" w:cs="Times New Roman"/>
          <w:b/>
          <w:bCs/>
          <w:sz w:val="24"/>
          <w:szCs w:val="24"/>
          <w:lang w:val="en-GB"/>
        </w:rPr>
      </w:pPr>
      <w:bookmarkStart w:id="3" w:name="_Hlk193371864"/>
      <w:r w:rsidRPr="007860B5">
        <w:rPr>
          <w:rFonts w:ascii="Times New Roman" w:hAnsi="Times New Roman" w:cs="Times New Roman"/>
          <w:b/>
          <w:bCs/>
          <w:sz w:val="24"/>
          <w:szCs w:val="24"/>
          <w:lang w:val="en-GB"/>
        </w:rPr>
        <w:t>Section 1. Calculation of own funds requirements for operational risk</w:t>
      </w:r>
    </w:p>
    <w:bookmarkEnd w:id="3"/>
    <w:p w14:paraId="0F6C8B49" w14:textId="682D111E" w:rsidR="00E75D1B" w:rsidRPr="007860B5" w:rsidRDefault="00212D70"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6.</w:t>
      </w:r>
      <w:r w:rsidRPr="007860B5">
        <w:rPr>
          <w:rFonts w:ascii="Times New Roman" w:hAnsi="Times New Roman" w:cs="Times New Roman"/>
          <w:bCs/>
          <w:sz w:val="24"/>
          <w:szCs w:val="24"/>
          <w:lang w:val="en-GB"/>
        </w:rPr>
        <w:t xml:space="preserve"> </w:t>
      </w:r>
      <w:r w:rsidR="00B72A24" w:rsidRPr="007860B5">
        <w:rPr>
          <w:rFonts w:ascii="Times New Roman" w:hAnsi="Times New Roman" w:cs="Times New Roman"/>
          <w:bCs/>
          <w:sz w:val="24"/>
          <w:szCs w:val="24"/>
          <w:lang w:val="en-GB"/>
        </w:rPr>
        <w:t xml:space="preserve">The own funds requirement for operational risk </w:t>
      </w:r>
      <w:r w:rsidR="00062BEB">
        <w:rPr>
          <w:rFonts w:ascii="Times New Roman" w:hAnsi="Times New Roman" w:cs="Times New Roman"/>
          <w:bCs/>
          <w:sz w:val="24"/>
          <w:szCs w:val="24"/>
          <w:lang w:val="en-GB"/>
        </w:rPr>
        <w:t>shall</w:t>
      </w:r>
      <w:r w:rsidR="00B72A24" w:rsidRPr="007860B5">
        <w:rPr>
          <w:rFonts w:ascii="Times New Roman" w:hAnsi="Times New Roman" w:cs="Times New Roman"/>
          <w:bCs/>
          <w:sz w:val="24"/>
          <w:szCs w:val="24"/>
          <w:lang w:val="en-GB"/>
        </w:rPr>
        <w:t xml:space="preserve"> </w:t>
      </w:r>
      <w:r w:rsidR="00062BEB">
        <w:rPr>
          <w:rFonts w:ascii="Times New Roman" w:hAnsi="Times New Roman" w:cs="Times New Roman"/>
          <w:bCs/>
          <w:sz w:val="24"/>
          <w:szCs w:val="24"/>
          <w:lang w:val="en-GB"/>
        </w:rPr>
        <w:t>be</w:t>
      </w:r>
      <w:r w:rsidR="00B72A24" w:rsidRPr="007860B5">
        <w:rPr>
          <w:rFonts w:ascii="Times New Roman" w:hAnsi="Times New Roman" w:cs="Times New Roman"/>
          <w:bCs/>
          <w:sz w:val="24"/>
          <w:szCs w:val="24"/>
          <w:lang w:val="en-GB"/>
        </w:rPr>
        <w:t xml:space="preserve"> </w:t>
      </w:r>
      <w:r w:rsidR="00062BEB" w:rsidRPr="007860B5">
        <w:rPr>
          <w:rFonts w:ascii="Times New Roman" w:hAnsi="Times New Roman" w:cs="Times New Roman"/>
          <w:bCs/>
          <w:sz w:val="24"/>
          <w:szCs w:val="24"/>
          <w:lang w:val="en-GB"/>
        </w:rPr>
        <w:t xml:space="preserve">the business indicator </w:t>
      </w:r>
      <w:r w:rsidR="00B72A24" w:rsidRPr="007860B5">
        <w:rPr>
          <w:rFonts w:ascii="Times New Roman" w:hAnsi="Times New Roman" w:cs="Times New Roman"/>
          <w:bCs/>
          <w:sz w:val="24"/>
          <w:szCs w:val="24"/>
          <w:lang w:val="en-GB"/>
        </w:rPr>
        <w:t>component calculated in accordance with paragraph 7.</w:t>
      </w:r>
    </w:p>
    <w:p w14:paraId="6B207E2B" w14:textId="5998D84F" w:rsidR="00614A88" w:rsidRPr="007860B5" w:rsidRDefault="00614A88" w:rsidP="0035162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7.</w:t>
      </w:r>
      <w:r w:rsidRPr="007860B5">
        <w:rPr>
          <w:rFonts w:ascii="Times New Roman" w:hAnsi="Times New Roman" w:cs="Times New Roman"/>
          <w:bCs/>
          <w:sz w:val="24"/>
          <w:szCs w:val="24"/>
          <w:lang w:val="en-GB"/>
        </w:rPr>
        <w:t xml:space="preserve"> </w:t>
      </w:r>
      <w:r w:rsidR="00861C31" w:rsidRPr="007860B5">
        <w:rPr>
          <w:rFonts w:ascii="Times New Roman" w:hAnsi="Times New Roman" w:cs="Times New Roman"/>
          <w:bCs/>
          <w:sz w:val="24"/>
          <w:szCs w:val="24"/>
          <w:lang w:val="en-GB"/>
        </w:rPr>
        <w:t>Banks calculate the business indicator component according to the following formula:</w:t>
      </w:r>
    </w:p>
    <w:p w14:paraId="779BB0D8" w14:textId="1325FDB6" w:rsidR="00614A88" w:rsidRPr="007860B5" w:rsidRDefault="00614A88" w:rsidP="0035162D">
      <w:pPr>
        <w:rPr>
          <w:rFonts w:ascii="Times New Roman" w:hAnsi="Times New Roman" w:cs="Times New Roman"/>
          <w:bCs/>
          <w:sz w:val="24"/>
          <w:szCs w:val="24"/>
          <w:lang w:val="en-GB"/>
        </w:rPr>
      </w:pPr>
      <w:r w:rsidRPr="007860B5">
        <w:rPr>
          <w:rFonts w:ascii="Times New Roman" w:hAnsi="Times New Roman" w:cs="Times New Roman"/>
          <w:bCs/>
          <w:noProof/>
          <w:color w:val="000000" w:themeColor="text1"/>
          <w:lang w:val="en-GB"/>
        </w:rPr>
        <w:drawing>
          <wp:inline distT="0" distB="0" distL="0" distR="0" wp14:anchorId="3382D974" wp14:editId="3DDD02AB">
            <wp:extent cx="3055620" cy="527050"/>
            <wp:effectExtent l="0" t="0" r="0" b="635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5620" cy="527050"/>
                    </a:xfrm>
                    <a:prstGeom prst="rect">
                      <a:avLst/>
                    </a:prstGeom>
                    <a:noFill/>
                    <a:ln>
                      <a:noFill/>
                    </a:ln>
                  </pic:spPr>
                </pic:pic>
              </a:graphicData>
            </a:graphic>
          </wp:inline>
        </w:drawing>
      </w:r>
    </w:p>
    <w:p w14:paraId="7825ABF0" w14:textId="7D4D28B2" w:rsidR="00614A88" w:rsidRPr="007860B5" w:rsidRDefault="00861C31" w:rsidP="00614A88">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where</w:t>
      </w:r>
      <w:r w:rsidR="00614A88" w:rsidRPr="007860B5">
        <w:rPr>
          <w:rFonts w:ascii="Times New Roman" w:hAnsi="Times New Roman" w:cs="Times New Roman"/>
          <w:bCs/>
          <w:sz w:val="24"/>
          <w:szCs w:val="24"/>
          <w:lang w:val="en-GB"/>
        </w:rPr>
        <w:t>:</w:t>
      </w:r>
      <w:r w:rsidR="00D26165" w:rsidRPr="007860B5">
        <w:rPr>
          <w:rFonts w:ascii="Times New Roman" w:hAnsi="Times New Roman" w:cs="Times New Roman"/>
          <w:bCs/>
          <w:sz w:val="24"/>
          <w:szCs w:val="24"/>
          <w:lang w:val="en-GB"/>
        </w:rPr>
        <w:t xml:space="preserve"> </w:t>
      </w:r>
    </w:p>
    <w:p w14:paraId="58421005" w14:textId="5102B6B4" w:rsidR="00614A88" w:rsidRPr="007860B5" w:rsidRDefault="00614A88" w:rsidP="00614A88">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BIC</w:t>
      </w:r>
      <w:r w:rsidRPr="007860B5">
        <w:rPr>
          <w:rFonts w:ascii="Times New Roman" w:hAnsi="Times New Roman" w:cs="Times New Roman"/>
          <w:bCs/>
          <w:sz w:val="24"/>
          <w:szCs w:val="24"/>
          <w:lang w:val="en-GB"/>
        </w:rPr>
        <w:tab/>
        <w:t xml:space="preserve">= </w:t>
      </w:r>
      <w:r w:rsidR="00861C31" w:rsidRPr="007860B5">
        <w:rPr>
          <w:rFonts w:ascii="Times New Roman" w:hAnsi="Times New Roman" w:cs="Times New Roman"/>
          <w:bCs/>
          <w:sz w:val="24"/>
          <w:szCs w:val="24"/>
          <w:lang w:val="en-GB"/>
        </w:rPr>
        <w:t xml:space="preserve">the business indicator </w:t>
      </w:r>
      <w:proofErr w:type="gramStart"/>
      <w:r w:rsidR="00861C31" w:rsidRPr="007860B5">
        <w:rPr>
          <w:rFonts w:ascii="Times New Roman" w:hAnsi="Times New Roman" w:cs="Times New Roman"/>
          <w:bCs/>
          <w:sz w:val="24"/>
          <w:szCs w:val="24"/>
          <w:lang w:val="en-GB"/>
        </w:rPr>
        <w:t>component</w:t>
      </w:r>
      <w:r w:rsidRPr="007860B5">
        <w:rPr>
          <w:rFonts w:ascii="Times New Roman" w:hAnsi="Times New Roman" w:cs="Times New Roman"/>
          <w:bCs/>
          <w:sz w:val="24"/>
          <w:szCs w:val="24"/>
          <w:lang w:val="en-GB"/>
        </w:rPr>
        <w:t>;</w:t>
      </w:r>
      <w:proofErr w:type="gramEnd"/>
    </w:p>
    <w:p w14:paraId="14CE9CE6" w14:textId="3861563C" w:rsidR="00614A88" w:rsidRPr="007860B5" w:rsidRDefault="00614A88" w:rsidP="00614A88">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BI</w:t>
      </w:r>
      <w:r w:rsidRPr="007860B5">
        <w:rPr>
          <w:rFonts w:ascii="Times New Roman" w:hAnsi="Times New Roman" w:cs="Times New Roman"/>
          <w:bCs/>
          <w:sz w:val="24"/>
          <w:szCs w:val="24"/>
          <w:lang w:val="en-GB"/>
        </w:rPr>
        <w:tab/>
        <w:t xml:space="preserve">= </w:t>
      </w:r>
      <w:r w:rsidR="00861C31" w:rsidRPr="007860B5">
        <w:rPr>
          <w:rFonts w:ascii="Times New Roman" w:hAnsi="Times New Roman" w:cs="Times New Roman"/>
          <w:bCs/>
          <w:sz w:val="24"/>
          <w:szCs w:val="24"/>
          <w:lang w:val="en-GB"/>
        </w:rPr>
        <w:t>the business indicator, expressed in billions of Moldovan lei, calculated in accordance with section 2.</w:t>
      </w:r>
    </w:p>
    <w:p w14:paraId="4DA8B6D6" w14:textId="2291589C" w:rsidR="00443387" w:rsidRPr="007860B5" w:rsidRDefault="00861C31" w:rsidP="00443387">
      <w:pPr>
        <w:rPr>
          <w:rFonts w:ascii="Times New Roman" w:hAnsi="Times New Roman" w:cs="Times New Roman"/>
          <w:b/>
          <w:bCs/>
          <w:sz w:val="24"/>
          <w:szCs w:val="24"/>
          <w:lang w:val="en-GB"/>
        </w:rPr>
      </w:pPr>
      <w:bookmarkStart w:id="4" w:name="_Hlk193371895"/>
      <w:r w:rsidRPr="007860B5">
        <w:rPr>
          <w:rFonts w:ascii="Times New Roman" w:hAnsi="Times New Roman" w:cs="Times New Roman"/>
          <w:b/>
          <w:bCs/>
          <w:sz w:val="24"/>
          <w:szCs w:val="24"/>
          <w:lang w:val="en-GB"/>
        </w:rPr>
        <w:t>Section 2. Business indicator</w:t>
      </w:r>
    </w:p>
    <w:bookmarkEnd w:id="4"/>
    <w:p w14:paraId="5C7B0CE0" w14:textId="6018EB40"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8.</w:t>
      </w:r>
      <w:r w:rsidRPr="007860B5">
        <w:rPr>
          <w:rFonts w:ascii="Times New Roman" w:hAnsi="Times New Roman" w:cs="Times New Roman"/>
          <w:bCs/>
          <w:sz w:val="24"/>
          <w:szCs w:val="24"/>
          <w:lang w:val="en-GB"/>
        </w:rPr>
        <w:t>   </w:t>
      </w:r>
      <w:r w:rsidR="00861C31" w:rsidRPr="007860B5">
        <w:rPr>
          <w:rFonts w:ascii="Times New Roman" w:hAnsi="Times New Roman" w:cs="Times New Roman"/>
          <w:bCs/>
          <w:sz w:val="24"/>
          <w:szCs w:val="24"/>
          <w:lang w:val="en-GB"/>
        </w:rPr>
        <w:t>Banks calculate their business indicator according to the following formula:</w:t>
      </w:r>
    </w:p>
    <w:p w14:paraId="77A9E51B" w14:textId="77777777"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i/>
          <w:iCs/>
          <w:sz w:val="24"/>
          <w:szCs w:val="24"/>
          <w:lang w:val="en-GB"/>
        </w:rPr>
        <w:t>BI = ILDC + SC + FC</w:t>
      </w:r>
    </w:p>
    <w:p w14:paraId="4BC7470D" w14:textId="034C5304" w:rsidR="00443387" w:rsidRPr="007860B5" w:rsidRDefault="00861C31"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where</w:t>
      </w:r>
      <w:r w:rsidR="00443387" w:rsidRPr="007860B5">
        <w:rPr>
          <w:rFonts w:ascii="Times New Roman" w:hAnsi="Times New Roman" w:cs="Times New Roman"/>
          <w:bCs/>
          <w:sz w:val="24"/>
          <w:szCs w:val="24"/>
          <w:lang w:val="en-GB"/>
        </w:rPr>
        <w:t>:</w:t>
      </w:r>
    </w:p>
    <w:tbl>
      <w:tblPr>
        <w:tblW w:w="9356" w:type="dxa"/>
        <w:tblLayout w:type="fixed"/>
        <w:tblCellMar>
          <w:left w:w="0" w:type="dxa"/>
          <w:right w:w="0" w:type="dxa"/>
        </w:tblCellMar>
        <w:tblLook w:val="04A0" w:firstRow="1" w:lastRow="0" w:firstColumn="1" w:lastColumn="0" w:noHBand="0" w:noVBand="1"/>
      </w:tblPr>
      <w:tblGrid>
        <w:gridCol w:w="258"/>
        <w:gridCol w:w="9098"/>
      </w:tblGrid>
      <w:tr w:rsidR="00443387" w:rsidRPr="007860B5" w14:paraId="0E6D29B9" w14:textId="77777777" w:rsidTr="00FB5C3A">
        <w:tc>
          <w:tcPr>
            <w:tcW w:w="258" w:type="dxa"/>
            <w:hideMark/>
          </w:tcPr>
          <w:p w14:paraId="36FD9C82" w14:textId="77777777"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BI</w:t>
            </w:r>
          </w:p>
        </w:tc>
        <w:tc>
          <w:tcPr>
            <w:tcW w:w="9098" w:type="dxa"/>
            <w:hideMark/>
          </w:tcPr>
          <w:p w14:paraId="3A69F873" w14:textId="2F0501A0"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861C31" w:rsidRPr="007860B5">
              <w:rPr>
                <w:rFonts w:ascii="Times New Roman" w:hAnsi="Times New Roman" w:cs="Times New Roman"/>
                <w:bCs/>
                <w:sz w:val="24"/>
                <w:szCs w:val="24"/>
                <w:lang w:val="en-GB"/>
              </w:rPr>
              <w:t>the business indicator, expressed in billions of Moldovan lei</w:t>
            </w:r>
          </w:p>
        </w:tc>
      </w:tr>
    </w:tbl>
    <w:p w14:paraId="0CE65ECC" w14:textId="77777777" w:rsidR="00443387" w:rsidRPr="007860B5" w:rsidRDefault="00443387" w:rsidP="00443387">
      <w:pPr>
        <w:rPr>
          <w:rFonts w:ascii="Times New Roman" w:hAnsi="Times New Roman" w:cs="Times New Roman"/>
          <w:bCs/>
          <w:vanish/>
          <w:sz w:val="24"/>
          <w:szCs w:val="24"/>
          <w:lang w:val="en-GB"/>
        </w:rPr>
      </w:pPr>
    </w:p>
    <w:tbl>
      <w:tblPr>
        <w:tblW w:w="4802" w:type="pct"/>
        <w:tblLayout w:type="fixed"/>
        <w:tblCellMar>
          <w:left w:w="0" w:type="dxa"/>
          <w:right w:w="0" w:type="dxa"/>
        </w:tblCellMar>
        <w:tblLook w:val="04A0" w:firstRow="1" w:lastRow="0" w:firstColumn="1" w:lastColumn="0" w:noHBand="0" w:noVBand="1"/>
      </w:tblPr>
      <w:tblGrid>
        <w:gridCol w:w="709"/>
        <w:gridCol w:w="8276"/>
      </w:tblGrid>
      <w:tr w:rsidR="00443387" w:rsidRPr="007860B5" w14:paraId="4EE55F80" w14:textId="77777777" w:rsidTr="00D14767">
        <w:tc>
          <w:tcPr>
            <w:tcW w:w="709" w:type="dxa"/>
            <w:hideMark/>
          </w:tcPr>
          <w:p w14:paraId="7CCF819C" w14:textId="77777777"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ILDC</w:t>
            </w:r>
          </w:p>
        </w:tc>
        <w:tc>
          <w:tcPr>
            <w:tcW w:w="8275" w:type="dxa"/>
            <w:hideMark/>
          </w:tcPr>
          <w:p w14:paraId="3FAC4524" w14:textId="7841D741"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D14767" w:rsidRPr="007860B5">
              <w:rPr>
                <w:rFonts w:ascii="Times New Roman" w:hAnsi="Times New Roman" w:cs="Times New Roman"/>
                <w:bCs/>
                <w:sz w:val="24"/>
                <w:szCs w:val="24"/>
                <w:lang w:val="en-GB"/>
              </w:rPr>
              <w:t>the interest, leases and dividend component, expressed in billions of Moldovan lei and calculated in accordance with paragraph 9;</w:t>
            </w:r>
          </w:p>
        </w:tc>
      </w:tr>
    </w:tbl>
    <w:p w14:paraId="508DA124" w14:textId="77777777" w:rsidR="00443387" w:rsidRPr="007860B5" w:rsidRDefault="00443387" w:rsidP="00443387">
      <w:pPr>
        <w:rPr>
          <w:rFonts w:ascii="Times New Roman" w:hAnsi="Times New Roman" w:cs="Times New Roman"/>
          <w:bCs/>
          <w:vanish/>
          <w:sz w:val="24"/>
          <w:szCs w:val="24"/>
          <w:lang w:val="en-GB"/>
        </w:rPr>
      </w:pPr>
    </w:p>
    <w:tbl>
      <w:tblPr>
        <w:tblW w:w="9356" w:type="dxa"/>
        <w:tblLayout w:type="fixed"/>
        <w:tblCellMar>
          <w:left w:w="0" w:type="dxa"/>
          <w:right w:w="0" w:type="dxa"/>
        </w:tblCellMar>
        <w:tblLook w:val="04A0" w:firstRow="1" w:lastRow="0" w:firstColumn="1" w:lastColumn="0" w:noHBand="0" w:noVBand="1"/>
      </w:tblPr>
      <w:tblGrid>
        <w:gridCol w:w="400"/>
        <w:gridCol w:w="8956"/>
      </w:tblGrid>
      <w:tr w:rsidR="00443387" w:rsidRPr="007860B5" w14:paraId="2A41174E" w14:textId="77777777" w:rsidTr="00FB5C3A">
        <w:tc>
          <w:tcPr>
            <w:tcW w:w="400" w:type="dxa"/>
            <w:hideMark/>
          </w:tcPr>
          <w:p w14:paraId="646BD4A4" w14:textId="77777777"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SC</w:t>
            </w:r>
          </w:p>
        </w:tc>
        <w:tc>
          <w:tcPr>
            <w:tcW w:w="8956" w:type="dxa"/>
            <w:hideMark/>
          </w:tcPr>
          <w:p w14:paraId="17C98D5E" w14:textId="39A720CB"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D14767" w:rsidRPr="007860B5">
              <w:rPr>
                <w:rFonts w:ascii="Times New Roman" w:hAnsi="Times New Roman" w:cs="Times New Roman"/>
                <w:bCs/>
                <w:sz w:val="24"/>
                <w:szCs w:val="24"/>
                <w:lang w:val="en-GB"/>
              </w:rPr>
              <w:t>the services component, expressed in billions of Moldovan lei and calculated in accordance with paragraph 10;</w:t>
            </w:r>
          </w:p>
        </w:tc>
      </w:tr>
    </w:tbl>
    <w:p w14:paraId="1E27E21B" w14:textId="77777777" w:rsidR="00443387" w:rsidRPr="007860B5" w:rsidRDefault="00443387" w:rsidP="00443387">
      <w:pPr>
        <w:rPr>
          <w:rFonts w:ascii="Times New Roman" w:hAnsi="Times New Roman" w:cs="Times New Roman"/>
          <w:bCs/>
          <w:vanish/>
          <w:sz w:val="24"/>
          <w:szCs w:val="24"/>
          <w:lang w:val="en-GB"/>
        </w:rPr>
      </w:pPr>
    </w:p>
    <w:tbl>
      <w:tblPr>
        <w:tblW w:w="9356" w:type="dxa"/>
        <w:tblLayout w:type="fixed"/>
        <w:tblCellMar>
          <w:left w:w="0" w:type="dxa"/>
          <w:right w:w="0" w:type="dxa"/>
        </w:tblCellMar>
        <w:tblLook w:val="04A0" w:firstRow="1" w:lastRow="0" w:firstColumn="1" w:lastColumn="0" w:noHBand="0" w:noVBand="1"/>
      </w:tblPr>
      <w:tblGrid>
        <w:gridCol w:w="400"/>
        <w:gridCol w:w="8956"/>
      </w:tblGrid>
      <w:tr w:rsidR="00443387" w:rsidRPr="007860B5" w14:paraId="10DE052B" w14:textId="77777777" w:rsidTr="00FB5C3A">
        <w:tc>
          <w:tcPr>
            <w:tcW w:w="400" w:type="dxa"/>
            <w:hideMark/>
          </w:tcPr>
          <w:p w14:paraId="7B19E652" w14:textId="77777777" w:rsidR="00443387" w:rsidRPr="007860B5" w:rsidRDefault="00443387" w:rsidP="0044338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FC</w:t>
            </w:r>
          </w:p>
        </w:tc>
        <w:tc>
          <w:tcPr>
            <w:tcW w:w="8956" w:type="dxa"/>
            <w:hideMark/>
          </w:tcPr>
          <w:p w14:paraId="2CEC080E" w14:textId="2E3C3A7D" w:rsidR="00D14767" w:rsidRPr="007860B5" w:rsidRDefault="00443387" w:rsidP="00D1476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D14767" w:rsidRPr="007860B5">
              <w:rPr>
                <w:rFonts w:ascii="Times New Roman" w:hAnsi="Times New Roman" w:cs="Times New Roman"/>
                <w:bCs/>
                <w:sz w:val="24"/>
                <w:szCs w:val="24"/>
                <w:lang w:val="en-GB"/>
              </w:rPr>
              <w:t>the financial component, expressed in billions of Moldovan lei and calculated in accordance with paragraph 11.</w:t>
            </w:r>
          </w:p>
          <w:p w14:paraId="2BA5C0B1" w14:textId="1BA5445C" w:rsidR="00FB5C3A" w:rsidRPr="007860B5" w:rsidRDefault="00FB5C3A" w:rsidP="00FB5C3A">
            <w:pPr>
              <w:rPr>
                <w:rFonts w:ascii="Times New Roman" w:hAnsi="Times New Roman" w:cs="Times New Roman"/>
                <w:bCs/>
                <w:sz w:val="24"/>
                <w:szCs w:val="24"/>
                <w:lang w:val="en-GB"/>
              </w:rPr>
            </w:pPr>
          </w:p>
        </w:tc>
      </w:tr>
    </w:tbl>
    <w:p w14:paraId="0320CF63" w14:textId="3F21AAEE" w:rsidR="00FB5C3A"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9.</w:t>
      </w:r>
      <w:r w:rsidRPr="007860B5">
        <w:rPr>
          <w:rFonts w:ascii="Times New Roman" w:hAnsi="Times New Roman" w:cs="Times New Roman"/>
          <w:bCs/>
          <w:sz w:val="24"/>
          <w:szCs w:val="24"/>
          <w:lang w:val="en-GB"/>
        </w:rPr>
        <w:t xml:space="preserve">   </w:t>
      </w:r>
      <w:r w:rsidR="00D14767" w:rsidRPr="007860B5">
        <w:rPr>
          <w:rFonts w:ascii="Times New Roman" w:hAnsi="Times New Roman" w:cs="Times New Roman"/>
          <w:bCs/>
          <w:sz w:val="24"/>
          <w:szCs w:val="24"/>
          <w:lang w:val="en-GB"/>
        </w:rPr>
        <w:t>For the purposes of paragraph 8, the interest, leases and dividend component shall be calculated in accordance with the following formula:</w:t>
      </w:r>
    </w:p>
    <w:p w14:paraId="1CC0BC71" w14:textId="2863B17C" w:rsidR="00FB5C3A"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Pr="007860B5">
        <w:rPr>
          <w:rFonts w:ascii="Times New Roman" w:hAnsi="Times New Roman" w:cs="Times New Roman"/>
          <w:bCs/>
          <w:noProof/>
          <w:color w:val="000000" w:themeColor="text1"/>
          <w:lang w:val="en-GB"/>
        </w:rPr>
        <w:drawing>
          <wp:inline distT="0" distB="0" distL="0" distR="0" wp14:anchorId="139CA9D5" wp14:editId="7C2C044D">
            <wp:extent cx="2882265" cy="278130"/>
            <wp:effectExtent l="0" t="0" r="0" b="762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2265" cy="278130"/>
                    </a:xfrm>
                    <a:prstGeom prst="rect">
                      <a:avLst/>
                    </a:prstGeom>
                    <a:noFill/>
                    <a:ln>
                      <a:noFill/>
                    </a:ln>
                  </pic:spPr>
                </pic:pic>
              </a:graphicData>
            </a:graphic>
          </wp:inline>
        </w:drawing>
      </w:r>
    </w:p>
    <w:p w14:paraId="290A0CBA" w14:textId="3E56D3D6" w:rsidR="00FB5C3A" w:rsidRPr="007860B5" w:rsidRDefault="00064C14"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where</w:t>
      </w:r>
      <w:r w:rsidR="00FB5C3A" w:rsidRPr="007860B5">
        <w:rPr>
          <w:rFonts w:ascii="Times New Roman" w:hAnsi="Times New Roman" w:cs="Times New Roman"/>
          <w:bCs/>
          <w:sz w:val="24"/>
          <w:szCs w:val="24"/>
          <w:lang w:val="en-GB"/>
        </w:rPr>
        <w:t>:</w:t>
      </w:r>
    </w:p>
    <w:p w14:paraId="0197059B" w14:textId="629ECC69" w:rsidR="00FB5C3A"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ILDC</w:t>
      </w:r>
      <w:r w:rsidRPr="007860B5">
        <w:rPr>
          <w:rFonts w:ascii="Times New Roman" w:hAnsi="Times New Roman" w:cs="Times New Roman"/>
          <w:bCs/>
          <w:sz w:val="24"/>
          <w:szCs w:val="24"/>
          <w:lang w:val="en-GB"/>
        </w:rPr>
        <w:tab/>
        <w:t xml:space="preserve">= </w:t>
      </w:r>
      <w:r w:rsidR="00064C14" w:rsidRPr="007860B5">
        <w:rPr>
          <w:rFonts w:ascii="Times New Roman" w:hAnsi="Times New Roman" w:cs="Times New Roman"/>
          <w:bCs/>
          <w:sz w:val="24"/>
          <w:szCs w:val="24"/>
          <w:lang w:val="en-GB"/>
        </w:rPr>
        <w:t xml:space="preserve">the interest, leases and dividend </w:t>
      </w:r>
      <w:proofErr w:type="gramStart"/>
      <w:r w:rsidR="00064C14" w:rsidRPr="007860B5">
        <w:rPr>
          <w:rFonts w:ascii="Times New Roman" w:hAnsi="Times New Roman" w:cs="Times New Roman"/>
          <w:bCs/>
          <w:sz w:val="24"/>
          <w:szCs w:val="24"/>
          <w:lang w:val="en-GB"/>
        </w:rPr>
        <w:t>component</w:t>
      </w:r>
      <w:r w:rsidRPr="007860B5">
        <w:rPr>
          <w:rFonts w:ascii="Times New Roman" w:hAnsi="Times New Roman" w:cs="Times New Roman"/>
          <w:bCs/>
          <w:sz w:val="24"/>
          <w:szCs w:val="24"/>
          <w:lang w:val="en-GB"/>
        </w:rPr>
        <w:t>;</w:t>
      </w:r>
      <w:proofErr w:type="gramEnd"/>
    </w:p>
    <w:p w14:paraId="16D95BEE" w14:textId="2A4493D9" w:rsidR="00BF62CA"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lastRenderedPageBreak/>
        <w:t>IC</w:t>
      </w:r>
      <w:r w:rsidRPr="007860B5">
        <w:rPr>
          <w:rFonts w:ascii="Times New Roman" w:hAnsi="Times New Roman" w:cs="Times New Roman"/>
          <w:bCs/>
          <w:sz w:val="24"/>
          <w:szCs w:val="24"/>
          <w:lang w:val="en-GB"/>
        </w:rPr>
        <w:tab/>
        <w:t xml:space="preserve">= </w:t>
      </w:r>
      <w:r w:rsidR="00BF62CA" w:rsidRPr="007860B5">
        <w:rPr>
          <w:rFonts w:ascii="Times New Roman" w:hAnsi="Times New Roman" w:cs="Times New Roman"/>
          <w:bCs/>
          <w:sz w:val="24"/>
          <w:szCs w:val="24"/>
          <w:lang w:val="en-GB"/>
        </w:rPr>
        <w:t>the interest component, which is the bank’s interest income from all financial assets and other interest income, including finance income from financial leases and income from operating leases and profits from leased assets, minus the institution’s interest expenses from all financial liabilities and other interest expenses, including interest expense from financial and operating leases, depreciation and impairment of, and losses from, operating leased assets, calculated as the annual average of the absolute values of the differences over the last three financial years;</w:t>
      </w:r>
    </w:p>
    <w:p w14:paraId="54751EAB" w14:textId="7DE5EAB6" w:rsidR="00BF62CA"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AC</w:t>
      </w:r>
      <w:r w:rsidRPr="007860B5">
        <w:rPr>
          <w:rFonts w:ascii="Times New Roman" w:hAnsi="Times New Roman" w:cs="Times New Roman"/>
          <w:bCs/>
          <w:sz w:val="24"/>
          <w:szCs w:val="24"/>
          <w:lang w:val="en-GB"/>
        </w:rPr>
        <w:tab/>
        <w:t xml:space="preserve">= </w:t>
      </w:r>
      <w:r w:rsidR="00BF62CA" w:rsidRPr="007860B5">
        <w:rPr>
          <w:rFonts w:ascii="Times New Roman" w:hAnsi="Times New Roman" w:cs="Times New Roman"/>
          <w:bCs/>
          <w:sz w:val="24"/>
          <w:szCs w:val="24"/>
          <w:lang w:val="en-GB"/>
        </w:rPr>
        <w:t xml:space="preserve">the asset component, which is the sum of the bank’s total gross outstanding loans, advances, interest bearing securities, including government bonds, and lease assets, calculated as the annual average over the last three financial years </w:t>
      </w:r>
      <w:proofErr w:type="gramStart"/>
      <w:r w:rsidR="00BF62CA" w:rsidRPr="007860B5">
        <w:rPr>
          <w:rFonts w:ascii="Times New Roman" w:hAnsi="Times New Roman" w:cs="Times New Roman"/>
          <w:bCs/>
          <w:sz w:val="24"/>
          <w:szCs w:val="24"/>
          <w:lang w:val="en-GB"/>
        </w:rPr>
        <w:t>on the basis of</w:t>
      </w:r>
      <w:proofErr w:type="gramEnd"/>
      <w:r w:rsidR="00BF62CA" w:rsidRPr="007860B5">
        <w:rPr>
          <w:rFonts w:ascii="Times New Roman" w:hAnsi="Times New Roman" w:cs="Times New Roman"/>
          <w:bCs/>
          <w:sz w:val="24"/>
          <w:szCs w:val="24"/>
          <w:lang w:val="en-GB"/>
        </w:rPr>
        <w:t xml:space="preserve"> the amounts at the end of each of the respective financial </w:t>
      </w:r>
      <w:proofErr w:type="gramStart"/>
      <w:r w:rsidR="00BF62CA" w:rsidRPr="007860B5">
        <w:rPr>
          <w:rFonts w:ascii="Times New Roman" w:hAnsi="Times New Roman" w:cs="Times New Roman"/>
          <w:bCs/>
          <w:sz w:val="24"/>
          <w:szCs w:val="24"/>
          <w:lang w:val="en-GB"/>
        </w:rPr>
        <w:t>years;</w:t>
      </w:r>
      <w:proofErr w:type="gramEnd"/>
    </w:p>
    <w:p w14:paraId="1D4A9B9E" w14:textId="1FE8FCFC" w:rsidR="0061257C" w:rsidRPr="007860B5" w:rsidRDefault="00FB5C3A" w:rsidP="00FB5C3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DC</w:t>
      </w:r>
      <w:r w:rsidRPr="007860B5">
        <w:rPr>
          <w:rFonts w:ascii="Times New Roman" w:hAnsi="Times New Roman" w:cs="Times New Roman"/>
          <w:bCs/>
          <w:sz w:val="24"/>
          <w:szCs w:val="24"/>
          <w:lang w:val="en-GB"/>
        </w:rPr>
        <w:tab/>
        <w:t xml:space="preserve">= </w:t>
      </w:r>
      <w:r w:rsidR="0061257C" w:rsidRPr="007860B5">
        <w:rPr>
          <w:rFonts w:ascii="Times New Roman" w:hAnsi="Times New Roman" w:cs="Times New Roman"/>
          <w:bCs/>
          <w:sz w:val="24"/>
          <w:szCs w:val="24"/>
          <w:lang w:val="en-GB"/>
        </w:rPr>
        <w:t>the dividend component, which is the bank’s dividend income from investments in stocks and funds not consolidated in the financial statements of the bank, including dividend income from non-consolidated subsidiaries, associates and joint ventures, calculated as the annual average over the last three financial years</w:t>
      </w:r>
    </w:p>
    <w:p w14:paraId="295467EF" w14:textId="1DA7A621"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10.</w:t>
      </w:r>
      <w:r w:rsidRPr="007860B5">
        <w:rPr>
          <w:rFonts w:ascii="Times New Roman" w:hAnsi="Times New Roman" w:cs="Times New Roman"/>
          <w:bCs/>
          <w:sz w:val="24"/>
          <w:szCs w:val="24"/>
          <w:lang w:val="en-GB"/>
        </w:rPr>
        <w:t>   </w:t>
      </w:r>
      <w:r w:rsidR="0061257C" w:rsidRPr="007860B5">
        <w:rPr>
          <w:rFonts w:ascii="Times New Roman" w:hAnsi="Times New Roman" w:cs="Times New Roman"/>
          <w:bCs/>
          <w:sz w:val="24"/>
          <w:szCs w:val="24"/>
          <w:lang w:val="en-GB"/>
        </w:rPr>
        <w:t>For the purposes of paragraph 8, the services component shall be calculated in accordance with the following formula:</w:t>
      </w:r>
    </w:p>
    <w:p w14:paraId="2624040F" w14:textId="77777777" w:rsidR="00A86B55" w:rsidRPr="007860B5" w:rsidRDefault="00A86B55" w:rsidP="00A86B55">
      <w:pPr>
        <w:rPr>
          <w:rFonts w:ascii="Times New Roman" w:hAnsi="Times New Roman" w:cs="Times New Roman"/>
          <w:bCs/>
          <w:sz w:val="28"/>
          <w:szCs w:val="28"/>
          <w:lang w:val="en-GB"/>
        </w:rPr>
      </w:pPr>
      <w:r w:rsidRPr="007860B5">
        <w:rPr>
          <w:rFonts w:ascii="Times New Roman" w:hAnsi="Times New Roman" w:cs="Times New Roman"/>
          <w:bCs/>
          <w:i/>
          <w:iCs/>
          <w:sz w:val="28"/>
          <w:szCs w:val="28"/>
          <w:lang w:val="en-GB"/>
        </w:rPr>
        <w:t>SC = max (OI, OE) + max (FI, FE)</w:t>
      </w:r>
    </w:p>
    <w:p w14:paraId="4EBC6AD2" w14:textId="1C91354A" w:rsidR="00A86B55" w:rsidRPr="007860B5" w:rsidRDefault="00871D66" w:rsidP="00A86B55">
      <w:pPr>
        <w:rPr>
          <w:rFonts w:ascii="Times New Roman" w:hAnsi="Times New Roman" w:cs="Times New Roman"/>
          <w:bCs/>
          <w:sz w:val="24"/>
          <w:szCs w:val="24"/>
          <w:lang w:val="en-GB"/>
        </w:rPr>
      </w:pPr>
      <w:r>
        <w:rPr>
          <w:rFonts w:ascii="Times New Roman" w:hAnsi="Times New Roman" w:cs="Times New Roman"/>
          <w:bCs/>
          <w:sz w:val="24"/>
          <w:szCs w:val="24"/>
          <w:lang w:val="en-GB"/>
        </w:rPr>
        <w:t>where</w:t>
      </w:r>
      <w:r w:rsidR="00A86B55" w:rsidRPr="007860B5">
        <w:rPr>
          <w:rFonts w:ascii="Times New Roman" w:hAnsi="Times New Roman" w:cs="Times New Roman"/>
          <w:bCs/>
          <w:sz w:val="24"/>
          <w:szCs w:val="24"/>
          <w:lang w:val="en-GB"/>
        </w:rPr>
        <w:t>:</w:t>
      </w:r>
    </w:p>
    <w:tbl>
      <w:tblPr>
        <w:tblW w:w="5000" w:type="pct"/>
        <w:tblLayout w:type="fixed"/>
        <w:tblCellMar>
          <w:left w:w="0" w:type="dxa"/>
          <w:right w:w="0" w:type="dxa"/>
        </w:tblCellMar>
        <w:tblLook w:val="04A0" w:firstRow="1" w:lastRow="0" w:firstColumn="1" w:lastColumn="0" w:noHBand="0" w:noVBand="1"/>
      </w:tblPr>
      <w:tblGrid>
        <w:gridCol w:w="831"/>
        <w:gridCol w:w="8524"/>
      </w:tblGrid>
      <w:tr w:rsidR="00A86B55" w:rsidRPr="007860B5" w14:paraId="2D1BB0C6" w14:textId="77777777" w:rsidTr="00217ADD">
        <w:tc>
          <w:tcPr>
            <w:tcW w:w="860" w:type="dxa"/>
            <w:hideMark/>
          </w:tcPr>
          <w:p w14:paraId="2D5ADD0C" w14:textId="7777777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SC</w:t>
            </w:r>
          </w:p>
        </w:tc>
        <w:tc>
          <w:tcPr>
            <w:tcW w:w="8829" w:type="dxa"/>
            <w:hideMark/>
          </w:tcPr>
          <w:p w14:paraId="11DED846" w14:textId="794F829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services component</w:t>
            </w:r>
            <w:r w:rsidRPr="007860B5">
              <w:rPr>
                <w:rFonts w:ascii="Times New Roman" w:hAnsi="Times New Roman" w:cs="Times New Roman"/>
                <w:bCs/>
                <w:sz w:val="24"/>
                <w:szCs w:val="24"/>
                <w:lang w:val="en-GB"/>
              </w:rPr>
              <w:t>;</w:t>
            </w:r>
          </w:p>
        </w:tc>
      </w:tr>
    </w:tbl>
    <w:p w14:paraId="1A597060" w14:textId="77777777" w:rsidR="00A86B55" w:rsidRPr="007860B5" w:rsidRDefault="00A86B55" w:rsidP="00A86B55">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515"/>
        <w:gridCol w:w="8840"/>
      </w:tblGrid>
      <w:tr w:rsidR="00A86B55" w:rsidRPr="007860B5" w14:paraId="1DD6E1ED" w14:textId="77777777" w:rsidTr="00217ADD">
        <w:tc>
          <w:tcPr>
            <w:tcW w:w="258" w:type="dxa"/>
            <w:hideMark/>
          </w:tcPr>
          <w:p w14:paraId="7438E18C" w14:textId="7777777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OI</w:t>
            </w:r>
          </w:p>
        </w:tc>
        <w:tc>
          <w:tcPr>
            <w:tcW w:w="4428" w:type="dxa"/>
            <w:hideMark/>
          </w:tcPr>
          <w:p w14:paraId="4531AD6C" w14:textId="0D1330DE"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other operating income, which is the annual average over the last three financial years of the bank’s income from ordinary banking operations not included in other items of the business indicator but of similar nature</w:t>
            </w:r>
            <w:r w:rsidRPr="007860B5">
              <w:rPr>
                <w:rFonts w:ascii="Times New Roman" w:hAnsi="Times New Roman" w:cs="Times New Roman"/>
                <w:bCs/>
                <w:sz w:val="24"/>
                <w:szCs w:val="24"/>
                <w:lang w:val="en-GB"/>
              </w:rPr>
              <w:t>;</w:t>
            </w:r>
          </w:p>
        </w:tc>
      </w:tr>
    </w:tbl>
    <w:p w14:paraId="57A604D5" w14:textId="77777777" w:rsidR="00A86B55" w:rsidRPr="007860B5" w:rsidRDefault="00A86B55" w:rsidP="00A86B55">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A86B55" w:rsidRPr="007860B5" w14:paraId="7856D678" w14:textId="77777777" w:rsidTr="00217ADD">
        <w:tc>
          <w:tcPr>
            <w:tcW w:w="400" w:type="dxa"/>
            <w:hideMark/>
          </w:tcPr>
          <w:p w14:paraId="17144103" w14:textId="7777777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OE</w:t>
            </w:r>
          </w:p>
        </w:tc>
        <w:tc>
          <w:tcPr>
            <w:tcW w:w="4286" w:type="dxa"/>
            <w:hideMark/>
          </w:tcPr>
          <w:p w14:paraId="7F0EDD90" w14:textId="0D89E842" w:rsidR="00217ADD" w:rsidRPr="007860B5" w:rsidRDefault="00A86B55" w:rsidP="00217AD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other operating expenses, which is the annual average over the last three financial years of the bank’s expenses and losses from ordinary banking operations not included in other items of the business indicator but of similar nature, and from operational risk events;</w:t>
            </w:r>
          </w:p>
        </w:tc>
      </w:tr>
    </w:tbl>
    <w:p w14:paraId="366EAEDC" w14:textId="77777777" w:rsidR="00A86B55" w:rsidRPr="007860B5" w:rsidRDefault="00A86B55" w:rsidP="00A86B55">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A86B55" w:rsidRPr="007860B5" w14:paraId="2762E8E0" w14:textId="77777777" w:rsidTr="00217ADD">
        <w:tc>
          <w:tcPr>
            <w:tcW w:w="400" w:type="dxa"/>
            <w:hideMark/>
          </w:tcPr>
          <w:p w14:paraId="4F36EBBD" w14:textId="7777777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FI</w:t>
            </w:r>
          </w:p>
        </w:tc>
        <w:tc>
          <w:tcPr>
            <w:tcW w:w="4286" w:type="dxa"/>
            <w:hideMark/>
          </w:tcPr>
          <w:p w14:paraId="08FE85E2" w14:textId="1C6BE804" w:rsidR="00217ADD" w:rsidRPr="007860B5" w:rsidRDefault="00A86B55" w:rsidP="00217AD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fee and commission income component, which is the annual average over the last three financial years of the bank’s income received from providing advice and services, including income received by the bank as an outsourcer of financial services;</w:t>
            </w:r>
          </w:p>
        </w:tc>
      </w:tr>
    </w:tbl>
    <w:p w14:paraId="188C8E94" w14:textId="77777777" w:rsidR="00A86B55" w:rsidRPr="007860B5" w:rsidRDefault="00A86B55" w:rsidP="00A86B55">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515"/>
        <w:gridCol w:w="8840"/>
      </w:tblGrid>
      <w:tr w:rsidR="00A86B55" w:rsidRPr="007860B5" w14:paraId="3A7F8086" w14:textId="77777777" w:rsidTr="00217ADD">
        <w:tc>
          <w:tcPr>
            <w:tcW w:w="515" w:type="dxa"/>
            <w:hideMark/>
          </w:tcPr>
          <w:p w14:paraId="634675E4" w14:textId="77777777" w:rsidR="00A86B55"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FE</w:t>
            </w:r>
          </w:p>
        </w:tc>
        <w:tc>
          <w:tcPr>
            <w:tcW w:w="8840" w:type="dxa"/>
            <w:hideMark/>
          </w:tcPr>
          <w:p w14:paraId="21259986" w14:textId="247AEA0D" w:rsidR="00217ADD" w:rsidRPr="007860B5" w:rsidRDefault="00A86B55" w:rsidP="00A86B55">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fee and commission expenses component, which is the annual average over the last three financial years of the bank’s expenses paid for receiving advice and services, including outsourcing fees paid by the bank for the supply of financial services, but excluding outsourcing fees paid for the supply of non-financial services.</w:t>
            </w:r>
          </w:p>
        </w:tc>
      </w:tr>
    </w:tbl>
    <w:p w14:paraId="5FCFB0BC" w14:textId="7A391C5D"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11.</w:t>
      </w:r>
      <w:r w:rsidRPr="007860B5">
        <w:rPr>
          <w:rFonts w:ascii="Times New Roman" w:hAnsi="Times New Roman" w:cs="Times New Roman"/>
          <w:bCs/>
          <w:sz w:val="24"/>
          <w:szCs w:val="24"/>
          <w:lang w:val="en-GB"/>
        </w:rPr>
        <w:t>   </w:t>
      </w:r>
      <w:r w:rsidR="00217ADD" w:rsidRPr="007860B5">
        <w:rPr>
          <w:rFonts w:ascii="Times New Roman" w:hAnsi="Times New Roman" w:cs="Times New Roman"/>
          <w:bCs/>
          <w:sz w:val="24"/>
          <w:szCs w:val="24"/>
          <w:lang w:val="en-GB"/>
        </w:rPr>
        <w:t>For the purposes of paragraph 8, the financial component shall be calculated in accordance with the following formula</w:t>
      </w:r>
      <w:r w:rsidRPr="007860B5">
        <w:rPr>
          <w:rFonts w:ascii="Times New Roman" w:hAnsi="Times New Roman" w:cs="Times New Roman"/>
          <w:bCs/>
          <w:sz w:val="24"/>
          <w:szCs w:val="24"/>
          <w:lang w:val="en-GB"/>
        </w:rPr>
        <w:t>:</w:t>
      </w:r>
    </w:p>
    <w:p w14:paraId="3DBC0280" w14:textId="77777777"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i/>
          <w:iCs/>
          <w:sz w:val="24"/>
          <w:szCs w:val="24"/>
          <w:lang w:val="en-GB"/>
        </w:rPr>
        <w:t>FC = TC + BC</w:t>
      </w:r>
    </w:p>
    <w:p w14:paraId="70B8B90C" w14:textId="071EE799" w:rsidR="004F43AD" w:rsidRPr="007860B5" w:rsidRDefault="00217AD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where</w:t>
      </w:r>
      <w:r w:rsidR="004F43AD" w:rsidRPr="007860B5">
        <w:rPr>
          <w:rFonts w:ascii="Times New Roman" w:hAnsi="Times New Roman" w:cs="Times New Roman"/>
          <w:bCs/>
          <w:sz w:val="24"/>
          <w:szCs w:val="24"/>
          <w:lang w:val="en-GB"/>
        </w:rPr>
        <w:t>:</w:t>
      </w:r>
    </w:p>
    <w:tbl>
      <w:tblPr>
        <w:tblW w:w="5000" w:type="pct"/>
        <w:tblLayout w:type="fixed"/>
        <w:tblCellMar>
          <w:left w:w="0" w:type="dxa"/>
          <w:right w:w="0" w:type="dxa"/>
        </w:tblCellMar>
        <w:tblLook w:val="04A0" w:firstRow="1" w:lastRow="0" w:firstColumn="1" w:lastColumn="0" w:noHBand="0" w:noVBand="1"/>
      </w:tblPr>
      <w:tblGrid>
        <w:gridCol w:w="860"/>
        <w:gridCol w:w="8495"/>
      </w:tblGrid>
      <w:tr w:rsidR="004F43AD" w:rsidRPr="007860B5" w14:paraId="0A60E5FA" w14:textId="77777777" w:rsidTr="00217ADD">
        <w:tc>
          <w:tcPr>
            <w:tcW w:w="890" w:type="dxa"/>
            <w:hideMark/>
          </w:tcPr>
          <w:p w14:paraId="799FE54F" w14:textId="77777777"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FC</w:t>
            </w:r>
          </w:p>
        </w:tc>
        <w:tc>
          <w:tcPr>
            <w:tcW w:w="8799" w:type="dxa"/>
            <w:hideMark/>
          </w:tcPr>
          <w:p w14:paraId="062D13E5" w14:textId="693459F8"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217ADD" w:rsidRPr="007860B5">
              <w:rPr>
                <w:rFonts w:ascii="Times New Roman" w:hAnsi="Times New Roman" w:cs="Times New Roman"/>
                <w:bCs/>
                <w:sz w:val="24"/>
                <w:szCs w:val="24"/>
                <w:lang w:val="en-GB"/>
              </w:rPr>
              <w:t>the financial component</w:t>
            </w:r>
            <w:r w:rsidRPr="007860B5">
              <w:rPr>
                <w:rFonts w:ascii="Times New Roman" w:hAnsi="Times New Roman" w:cs="Times New Roman"/>
                <w:bCs/>
                <w:sz w:val="24"/>
                <w:szCs w:val="24"/>
                <w:lang w:val="en-GB"/>
              </w:rPr>
              <w:t>;</w:t>
            </w:r>
          </w:p>
        </w:tc>
      </w:tr>
    </w:tbl>
    <w:p w14:paraId="42635A9F" w14:textId="77777777" w:rsidR="004F43AD" w:rsidRPr="007860B5" w:rsidRDefault="004F43AD" w:rsidP="004F43AD">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4F43AD" w:rsidRPr="007860B5" w14:paraId="73669242" w14:textId="77777777" w:rsidTr="006C2DBE">
        <w:tc>
          <w:tcPr>
            <w:tcW w:w="400" w:type="dxa"/>
            <w:hideMark/>
          </w:tcPr>
          <w:p w14:paraId="78986571" w14:textId="77777777"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TC</w:t>
            </w:r>
          </w:p>
        </w:tc>
        <w:tc>
          <w:tcPr>
            <w:tcW w:w="4286" w:type="dxa"/>
            <w:hideMark/>
          </w:tcPr>
          <w:p w14:paraId="499A29B9" w14:textId="4EC7800F" w:rsidR="006C2DBE"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6C2DBE" w:rsidRPr="007860B5">
              <w:rPr>
                <w:rFonts w:ascii="Times New Roman" w:hAnsi="Times New Roman" w:cs="Times New Roman"/>
                <w:bCs/>
                <w:sz w:val="24"/>
                <w:szCs w:val="24"/>
                <w:lang w:val="en-GB"/>
              </w:rPr>
              <w:t xml:space="preserve">the trading book component, which is the annual average of the absolute values over the last three financial years of the net profit or loss, as applicable, on the bank’s trading </w:t>
            </w:r>
            <w:r w:rsidR="006C2DBE" w:rsidRPr="007860B5">
              <w:rPr>
                <w:rFonts w:ascii="Times New Roman" w:hAnsi="Times New Roman" w:cs="Times New Roman"/>
                <w:bCs/>
                <w:sz w:val="24"/>
                <w:szCs w:val="24"/>
                <w:lang w:val="en-GB"/>
              </w:rPr>
              <w:lastRenderedPageBreak/>
              <w:t>book, determined as appropriate either in accordance with accounting standards or in accordance with Chapter II of the Regulation on the treatment of market risk according the standardised approach, approved by Decision No 114/2018 of the Executive Board of the National Bank of Moldova, including from trading assets and trading liabilities, from hedge accounting and from exchange differences;</w:t>
            </w:r>
          </w:p>
          <w:p w14:paraId="09789E89" w14:textId="6D8AC2AB" w:rsidR="006C2DBE" w:rsidRPr="007860B5" w:rsidRDefault="006C2DBE" w:rsidP="004F43AD">
            <w:pPr>
              <w:rPr>
                <w:rFonts w:ascii="Times New Roman" w:hAnsi="Times New Roman" w:cs="Times New Roman"/>
                <w:bCs/>
                <w:sz w:val="24"/>
                <w:szCs w:val="24"/>
                <w:lang w:val="en-GB"/>
              </w:rPr>
            </w:pPr>
          </w:p>
        </w:tc>
      </w:tr>
    </w:tbl>
    <w:p w14:paraId="4105D96D" w14:textId="77777777" w:rsidR="004F43AD" w:rsidRPr="007860B5" w:rsidRDefault="004F43AD" w:rsidP="004F43AD">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799"/>
        <w:gridCol w:w="8556"/>
      </w:tblGrid>
      <w:tr w:rsidR="004F43AD" w:rsidRPr="007860B5" w14:paraId="0042DE1E" w14:textId="77777777" w:rsidTr="00061574">
        <w:tc>
          <w:tcPr>
            <w:tcW w:w="799" w:type="dxa"/>
            <w:hideMark/>
          </w:tcPr>
          <w:p w14:paraId="1872F05C" w14:textId="77777777" w:rsidR="004F43AD" w:rsidRPr="007860B5" w:rsidRDefault="004F43AD" w:rsidP="004F43A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BC</w:t>
            </w:r>
          </w:p>
        </w:tc>
        <w:tc>
          <w:tcPr>
            <w:tcW w:w="8556" w:type="dxa"/>
            <w:hideMark/>
          </w:tcPr>
          <w:p w14:paraId="0C7BB106" w14:textId="284157F6" w:rsidR="00061574" w:rsidRPr="007860B5" w:rsidRDefault="004F43AD" w:rsidP="00061574">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061574" w:rsidRPr="007860B5">
              <w:rPr>
                <w:rFonts w:ascii="Times New Roman" w:hAnsi="Times New Roman" w:cs="Times New Roman"/>
                <w:bCs/>
                <w:sz w:val="24"/>
                <w:szCs w:val="24"/>
                <w:lang w:val="en-GB"/>
              </w:rPr>
              <w:t>the banking book component, which is the annual average of the absolute values over the last three financial years of the net profit or loss, as applicable, on the bank’s non-trading book, including from financial assets and liabilities measured at fair value through profit and loss, from hedge accounting, from exchange differences and from realised gains and losses on financial assets and liabilities not measured at fair value through profit and loss.</w:t>
            </w:r>
          </w:p>
        </w:tc>
      </w:tr>
    </w:tbl>
    <w:p w14:paraId="531C2A81" w14:textId="0CA24CC0" w:rsidR="00F31D0A" w:rsidRPr="007860B5" w:rsidRDefault="00F31D0A" w:rsidP="00F31D0A">
      <w:pPr>
        <w:rPr>
          <w:rFonts w:ascii="Times New Roman" w:hAnsi="Times New Roman" w:cs="Times New Roman"/>
          <w:bCs/>
          <w:sz w:val="24"/>
          <w:szCs w:val="24"/>
          <w:lang w:val="en-GB"/>
        </w:rPr>
      </w:pPr>
      <w:bookmarkStart w:id="5" w:name="_Hlk210203539"/>
      <w:r w:rsidRPr="007860B5">
        <w:rPr>
          <w:rFonts w:ascii="Times New Roman" w:hAnsi="Times New Roman" w:cs="Times New Roman"/>
          <w:b/>
          <w:sz w:val="24"/>
          <w:szCs w:val="24"/>
          <w:lang w:val="en-GB"/>
        </w:rPr>
        <w:t>12.</w:t>
      </w:r>
      <w:r w:rsidRPr="007860B5">
        <w:rPr>
          <w:rFonts w:ascii="Times New Roman" w:hAnsi="Times New Roman" w:cs="Times New Roman"/>
          <w:bCs/>
          <w:sz w:val="24"/>
          <w:szCs w:val="24"/>
          <w:lang w:val="en-GB"/>
        </w:rPr>
        <w:t>   </w:t>
      </w:r>
      <w:r w:rsidR="00061574" w:rsidRPr="007860B5">
        <w:rPr>
          <w:rFonts w:ascii="Times New Roman" w:hAnsi="Times New Roman" w:cs="Times New Roman"/>
          <w:bCs/>
          <w:sz w:val="24"/>
          <w:szCs w:val="24"/>
          <w:lang w:val="en-GB"/>
        </w:rPr>
        <w:t>Banks shall not use any of the following elements in the calculation of their business indicator</w:t>
      </w:r>
      <w:r w:rsidRPr="007860B5">
        <w:rPr>
          <w:rFonts w:ascii="Times New Roman" w:hAnsi="Times New Roman" w:cs="Times New Roman"/>
          <w:bCs/>
          <w:sz w:val="24"/>
          <w:szCs w:val="24"/>
          <w:lang w:val="en-GB"/>
        </w:rPr>
        <w:t>:</w:t>
      </w:r>
    </w:p>
    <w:p w14:paraId="7A977964" w14:textId="5F281899"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12.1. </w:t>
      </w:r>
      <w:r w:rsidR="00061574" w:rsidRPr="007860B5">
        <w:rPr>
          <w:rFonts w:ascii="Times New Roman" w:hAnsi="Times New Roman" w:cs="Times New Roman"/>
          <w:bCs/>
          <w:sz w:val="24"/>
          <w:szCs w:val="24"/>
          <w:lang w:val="en-GB"/>
        </w:rPr>
        <w:t xml:space="preserve">income and expenses from insurance or reinsurance </w:t>
      </w:r>
      <w:proofErr w:type="gramStart"/>
      <w:r w:rsidR="00061574" w:rsidRPr="007860B5">
        <w:rPr>
          <w:rFonts w:ascii="Times New Roman" w:hAnsi="Times New Roman" w:cs="Times New Roman"/>
          <w:bCs/>
          <w:sz w:val="24"/>
          <w:szCs w:val="24"/>
          <w:lang w:val="en-GB"/>
        </w:rPr>
        <w:t>business</w:t>
      </w:r>
      <w:r w:rsidRPr="007860B5">
        <w:rPr>
          <w:rFonts w:ascii="Times New Roman" w:hAnsi="Times New Roman" w:cs="Times New Roman"/>
          <w:bCs/>
          <w:sz w:val="24"/>
          <w:szCs w:val="24"/>
          <w:lang w:val="en-GB"/>
        </w:rPr>
        <w:t>;</w:t>
      </w:r>
      <w:proofErr w:type="gramEnd"/>
    </w:p>
    <w:p w14:paraId="2018EC10" w14:textId="23D97EFF"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12.2. </w:t>
      </w:r>
      <w:r w:rsidR="00061574" w:rsidRPr="007860B5">
        <w:rPr>
          <w:rFonts w:ascii="Times New Roman" w:hAnsi="Times New Roman" w:cs="Times New Roman"/>
          <w:bCs/>
          <w:sz w:val="24"/>
          <w:szCs w:val="24"/>
          <w:lang w:val="en-GB"/>
        </w:rPr>
        <w:t xml:space="preserve">premiums paid and payments received from insurance or reinsurance policies </w:t>
      </w:r>
      <w:proofErr w:type="gramStart"/>
      <w:r w:rsidR="00061574" w:rsidRPr="007860B5">
        <w:rPr>
          <w:rFonts w:ascii="Times New Roman" w:hAnsi="Times New Roman" w:cs="Times New Roman"/>
          <w:bCs/>
          <w:sz w:val="24"/>
          <w:szCs w:val="24"/>
          <w:lang w:val="en-GB"/>
        </w:rPr>
        <w:t>purchased</w:t>
      </w:r>
      <w:r w:rsidRPr="007860B5">
        <w:rPr>
          <w:rFonts w:ascii="Times New Roman" w:hAnsi="Times New Roman" w:cs="Times New Roman"/>
          <w:bCs/>
          <w:sz w:val="24"/>
          <w:szCs w:val="24"/>
          <w:lang w:val="en-GB"/>
        </w:rPr>
        <w:t>;</w:t>
      </w:r>
      <w:proofErr w:type="gramEnd"/>
    </w:p>
    <w:p w14:paraId="7724E9AA" w14:textId="1BDFEF42"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12.3. </w:t>
      </w:r>
      <w:r w:rsidR="00061574" w:rsidRPr="007860B5">
        <w:rPr>
          <w:rFonts w:ascii="Times New Roman" w:hAnsi="Times New Roman" w:cs="Times New Roman"/>
          <w:bCs/>
          <w:sz w:val="24"/>
          <w:szCs w:val="24"/>
          <w:lang w:val="en-GB"/>
        </w:rPr>
        <w:t xml:space="preserve">administrative expenses, including staff expenses, outsourcing fees paid for the supply of non-financial services, and other administrative </w:t>
      </w:r>
      <w:proofErr w:type="gramStart"/>
      <w:r w:rsidR="00061574" w:rsidRPr="007860B5">
        <w:rPr>
          <w:rFonts w:ascii="Times New Roman" w:hAnsi="Times New Roman" w:cs="Times New Roman"/>
          <w:bCs/>
          <w:sz w:val="24"/>
          <w:szCs w:val="24"/>
          <w:lang w:val="en-GB"/>
        </w:rPr>
        <w:t>expenses</w:t>
      </w:r>
      <w:r w:rsidRPr="007860B5">
        <w:rPr>
          <w:rFonts w:ascii="Times New Roman" w:hAnsi="Times New Roman" w:cs="Times New Roman"/>
          <w:bCs/>
          <w:sz w:val="24"/>
          <w:szCs w:val="24"/>
          <w:lang w:val="en-GB"/>
        </w:rPr>
        <w:t>;</w:t>
      </w:r>
      <w:proofErr w:type="gramEnd"/>
    </w:p>
    <w:p w14:paraId="5E252660" w14:textId="76B217AB"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12.4. </w:t>
      </w:r>
      <w:r w:rsidR="00061574" w:rsidRPr="007860B5">
        <w:rPr>
          <w:rFonts w:ascii="Times New Roman" w:hAnsi="Times New Roman" w:cs="Times New Roman"/>
          <w:bCs/>
          <w:sz w:val="24"/>
          <w:szCs w:val="24"/>
          <w:lang w:val="en-GB"/>
        </w:rPr>
        <w:t xml:space="preserve">recovery of administrative expenses including recovery of payments on behalf of </w:t>
      </w:r>
      <w:proofErr w:type="gramStart"/>
      <w:r w:rsidR="00061574" w:rsidRPr="007860B5">
        <w:rPr>
          <w:rFonts w:ascii="Times New Roman" w:hAnsi="Times New Roman" w:cs="Times New Roman"/>
          <w:bCs/>
          <w:sz w:val="24"/>
          <w:szCs w:val="24"/>
          <w:lang w:val="en-GB"/>
        </w:rPr>
        <w:t>customers</w:t>
      </w:r>
      <w:r w:rsidRPr="007860B5">
        <w:rPr>
          <w:rFonts w:ascii="Times New Roman" w:hAnsi="Times New Roman" w:cs="Times New Roman"/>
          <w:bCs/>
          <w:sz w:val="24"/>
          <w:szCs w:val="24"/>
          <w:lang w:val="en-GB"/>
        </w:rPr>
        <w:t>;</w:t>
      </w:r>
      <w:proofErr w:type="gramEnd"/>
    </w:p>
    <w:p w14:paraId="523E2863" w14:textId="63C76759"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12.5. </w:t>
      </w:r>
      <w:r w:rsidR="00346613" w:rsidRPr="007860B5">
        <w:rPr>
          <w:rFonts w:ascii="Times New Roman" w:hAnsi="Times New Roman" w:cs="Times New Roman"/>
          <w:bCs/>
          <w:sz w:val="24"/>
          <w:szCs w:val="24"/>
          <w:lang w:val="en-GB"/>
        </w:rPr>
        <w:t xml:space="preserve">expenses of premises and fixed assets, except where those expenses result from operational risk </w:t>
      </w:r>
      <w:proofErr w:type="gramStart"/>
      <w:r w:rsidR="00346613" w:rsidRPr="007860B5">
        <w:rPr>
          <w:rFonts w:ascii="Times New Roman" w:hAnsi="Times New Roman" w:cs="Times New Roman"/>
          <w:bCs/>
          <w:sz w:val="24"/>
          <w:szCs w:val="24"/>
          <w:lang w:val="en-GB"/>
        </w:rPr>
        <w:t>events</w:t>
      </w:r>
      <w:r w:rsidRPr="007860B5">
        <w:rPr>
          <w:rFonts w:ascii="Times New Roman" w:hAnsi="Times New Roman" w:cs="Times New Roman"/>
          <w:bCs/>
          <w:sz w:val="24"/>
          <w:szCs w:val="24"/>
          <w:lang w:val="en-GB"/>
        </w:rPr>
        <w:t>;</w:t>
      </w:r>
      <w:proofErr w:type="gramEnd"/>
    </w:p>
    <w:p w14:paraId="35A02CF1" w14:textId="15A63466"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12.6. </w:t>
      </w:r>
      <w:r w:rsidR="00346613" w:rsidRPr="007860B5">
        <w:rPr>
          <w:rFonts w:ascii="Times New Roman" w:hAnsi="Times New Roman" w:cs="Times New Roman"/>
          <w:bCs/>
          <w:sz w:val="24"/>
          <w:szCs w:val="24"/>
          <w:lang w:val="en-GB"/>
        </w:rPr>
        <w:t xml:space="preserve">amortisation of tangible assets and amortisation of intangible assets, except the depreciation related to operating lease assets, which shall be included in financial and operating lease </w:t>
      </w:r>
      <w:proofErr w:type="gramStart"/>
      <w:r w:rsidR="00346613" w:rsidRPr="007860B5">
        <w:rPr>
          <w:rFonts w:ascii="Times New Roman" w:hAnsi="Times New Roman" w:cs="Times New Roman"/>
          <w:bCs/>
          <w:sz w:val="24"/>
          <w:szCs w:val="24"/>
          <w:lang w:val="en-GB"/>
        </w:rPr>
        <w:t>expenses</w:t>
      </w:r>
      <w:r w:rsidRPr="007860B5">
        <w:rPr>
          <w:rFonts w:ascii="Times New Roman" w:hAnsi="Times New Roman" w:cs="Times New Roman"/>
          <w:bCs/>
          <w:sz w:val="24"/>
          <w:szCs w:val="24"/>
          <w:lang w:val="en-GB"/>
        </w:rPr>
        <w:t>;</w:t>
      </w:r>
      <w:proofErr w:type="gramEnd"/>
    </w:p>
    <w:p w14:paraId="5CE8DE42" w14:textId="7659B320"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12.7. </w:t>
      </w:r>
      <w:r w:rsidR="00346613" w:rsidRPr="007860B5">
        <w:rPr>
          <w:rFonts w:ascii="Times New Roman" w:hAnsi="Times New Roman" w:cs="Times New Roman"/>
          <w:bCs/>
          <w:sz w:val="24"/>
          <w:szCs w:val="24"/>
          <w:lang w:val="en-GB"/>
        </w:rPr>
        <w:t xml:space="preserve">provisions and reversal of provisions, except where those provisions relate to operational risk </w:t>
      </w:r>
      <w:proofErr w:type="gramStart"/>
      <w:r w:rsidR="00346613" w:rsidRPr="007860B5">
        <w:rPr>
          <w:rFonts w:ascii="Times New Roman" w:hAnsi="Times New Roman" w:cs="Times New Roman"/>
          <w:bCs/>
          <w:sz w:val="24"/>
          <w:szCs w:val="24"/>
          <w:lang w:val="en-GB"/>
        </w:rPr>
        <w:t>events</w:t>
      </w:r>
      <w:r w:rsidRPr="007860B5">
        <w:rPr>
          <w:rFonts w:ascii="Times New Roman" w:hAnsi="Times New Roman" w:cs="Times New Roman"/>
          <w:bCs/>
          <w:sz w:val="24"/>
          <w:szCs w:val="24"/>
          <w:lang w:val="en-GB"/>
        </w:rPr>
        <w:t>;</w:t>
      </w:r>
      <w:proofErr w:type="gramEnd"/>
    </w:p>
    <w:p w14:paraId="6CA37978" w14:textId="452AE0C6"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12.8. </w:t>
      </w:r>
      <w:r w:rsidR="00346613" w:rsidRPr="007860B5">
        <w:rPr>
          <w:rFonts w:ascii="Times New Roman" w:hAnsi="Times New Roman" w:cs="Times New Roman"/>
          <w:bCs/>
          <w:sz w:val="24"/>
          <w:szCs w:val="24"/>
          <w:lang w:val="en-GB"/>
        </w:rPr>
        <w:t xml:space="preserve">expenses due to share capital repayable on </w:t>
      </w:r>
      <w:proofErr w:type="gramStart"/>
      <w:r w:rsidR="00346613" w:rsidRPr="007860B5">
        <w:rPr>
          <w:rFonts w:ascii="Times New Roman" w:hAnsi="Times New Roman" w:cs="Times New Roman"/>
          <w:bCs/>
          <w:sz w:val="24"/>
          <w:szCs w:val="24"/>
          <w:lang w:val="en-GB"/>
        </w:rPr>
        <w:t>demand</w:t>
      </w:r>
      <w:r w:rsidRPr="007860B5">
        <w:rPr>
          <w:rFonts w:ascii="Times New Roman" w:hAnsi="Times New Roman" w:cs="Times New Roman"/>
          <w:bCs/>
          <w:sz w:val="24"/>
          <w:szCs w:val="24"/>
          <w:lang w:val="en-GB"/>
        </w:rPr>
        <w:t>;</w:t>
      </w:r>
      <w:proofErr w:type="gramEnd"/>
    </w:p>
    <w:p w14:paraId="5677D539" w14:textId="1E114B25"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12.9. </w:t>
      </w:r>
      <w:r w:rsidR="00346613" w:rsidRPr="007860B5">
        <w:rPr>
          <w:rFonts w:ascii="Times New Roman" w:hAnsi="Times New Roman" w:cs="Times New Roman"/>
          <w:bCs/>
          <w:sz w:val="24"/>
          <w:szCs w:val="24"/>
          <w:lang w:val="en-GB"/>
        </w:rPr>
        <w:t xml:space="preserve">impairment and reversal of </w:t>
      </w:r>
      <w:proofErr w:type="gramStart"/>
      <w:r w:rsidR="00346613" w:rsidRPr="007860B5">
        <w:rPr>
          <w:rFonts w:ascii="Times New Roman" w:hAnsi="Times New Roman" w:cs="Times New Roman"/>
          <w:bCs/>
          <w:sz w:val="24"/>
          <w:szCs w:val="24"/>
          <w:lang w:val="en-GB"/>
        </w:rPr>
        <w:t>impairment</w:t>
      </w:r>
      <w:r w:rsidRPr="007860B5">
        <w:rPr>
          <w:rFonts w:ascii="Times New Roman" w:hAnsi="Times New Roman" w:cs="Times New Roman"/>
          <w:bCs/>
          <w:sz w:val="24"/>
          <w:szCs w:val="24"/>
          <w:lang w:val="en-GB"/>
        </w:rPr>
        <w:t>;</w:t>
      </w:r>
      <w:proofErr w:type="gramEnd"/>
    </w:p>
    <w:p w14:paraId="4E3BC373" w14:textId="30918D22" w:rsidR="00F31D0A"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12.10. </w:t>
      </w:r>
      <w:r w:rsidR="00346613" w:rsidRPr="007860B5">
        <w:rPr>
          <w:rFonts w:ascii="Times New Roman" w:hAnsi="Times New Roman" w:cs="Times New Roman"/>
          <w:bCs/>
          <w:sz w:val="24"/>
          <w:szCs w:val="24"/>
          <w:lang w:val="en-GB"/>
        </w:rPr>
        <w:t xml:space="preserve">changes in goodwill recognised in profit or </w:t>
      </w:r>
      <w:proofErr w:type="gramStart"/>
      <w:r w:rsidR="00346613" w:rsidRPr="007860B5">
        <w:rPr>
          <w:rFonts w:ascii="Times New Roman" w:hAnsi="Times New Roman" w:cs="Times New Roman"/>
          <w:bCs/>
          <w:sz w:val="24"/>
          <w:szCs w:val="24"/>
          <w:lang w:val="en-GB"/>
        </w:rPr>
        <w:t>loss</w:t>
      </w:r>
      <w:r w:rsidRPr="007860B5">
        <w:rPr>
          <w:rFonts w:ascii="Times New Roman" w:hAnsi="Times New Roman" w:cs="Times New Roman"/>
          <w:bCs/>
          <w:sz w:val="24"/>
          <w:szCs w:val="24"/>
          <w:lang w:val="en-GB"/>
        </w:rPr>
        <w:t>;</w:t>
      </w:r>
      <w:proofErr w:type="gramEnd"/>
    </w:p>
    <w:p w14:paraId="4C991F59" w14:textId="6B3A2AA9" w:rsidR="00A86B55"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12.11. </w:t>
      </w:r>
      <w:r w:rsidR="00346613" w:rsidRPr="007860B5">
        <w:rPr>
          <w:rFonts w:ascii="Times New Roman" w:hAnsi="Times New Roman" w:cs="Times New Roman"/>
          <w:bCs/>
          <w:sz w:val="24"/>
          <w:szCs w:val="24"/>
          <w:lang w:val="en-GB"/>
        </w:rPr>
        <w:t>corporate income tax</w:t>
      </w:r>
      <w:r w:rsidRPr="007860B5">
        <w:rPr>
          <w:rFonts w:ascii="Times New Roman" w:hAnsi="Times New Roman" w:cs="Times New Roman"/>
          <w:bCs/>
          <w:sz w:val="24"/>
          <w:szCs w:val="24"/>
          <w:lang w:val="en-GB"/>
        </w:rPr>
        <w:t>.</w:t>
      </w:r>
    </w:p>
    <w:bookmarkEnd w:id="5"/>
    <w:p w14:paraId="3DBB5CDF" w14:textId="2B1A76F1" w:rsidR="00346613" w:rsidRPr="007860B5" w:rsidRDefault="00F31D0A" w:rsidP="00F31D0A">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13.</w:t>
      </w:r>
      <w:r w:rsidRPr="007860B5">
        <w:rPr>
          <w:rFonts w:ascii="Times New Roman" w:hAnsi="Times New Roman" w:cs="Times New Roman"/>
          <w:bCs/>
          <w:sz w:val="24"/>
          <w:szCs w:val="24"/>
          <w:lang w:val="en-GB"/>
        </w:rPr>
        <w:t>   </w:t>
      </w:r>
      <w:r w:rsidR="00346613" w:rsidRPr="007860B5">
        <w:rPr>
          <w:rFonts w:ascii="Times New Roman" w:hAnsi="Times New Roman" w:cs="Times New Roman"/>
          <w:bCs/>
          <w:sz w:val="24"/>
          <w:szCs w:val="24"/>
          <w:lang w:val="en-GB"/>
        </w:rPr>
        <w:t>Where a bank has been in operation for less than three years, it shall use forward-looking business estimates in calculating the relevant components of its business indicator, subject to the satisfaction of the National Bank of Moldova (hereinafter – NBM) in the supervisory process. The bank shall start using historical data as soon as that data are available</w:t>
      </w:r>
      <w:r w:rsidR="00A9037B">
        <w:rPr>
          <w:rFonts w:ascii="Times New Roman" w:hAnsi="Times New Roman" w:cs="Times New Roman"/>
          <w:bCs/>
          <w:sz w:val="24"/>
          <w:szCs w:val="24"/>
          <w:lang w:val="en-GB"/>
        </w:rPr>
        <w:t>.</w:t>
      </w:r>
    </w:p>
    <w:p w14:paraId="53FA0CAB" w14:textId="40D3BEE4" w:rsidR="00AF1228" w:rsidRPr="007860B5" w:rsidRDefault="00AB40A3" w:rsidP="00AF1228">
      <w:pPr>
        <w:rPr>
          <w:rFonts w:ascii="Times New Roman" w:hAnsi="Times New Roman" w:cs="Times New Roman"/>
          <w:b/>
          <w:bCs/>
          <w:sz w:val="24"/>
          <w:szCs w:val="24"/>
          <w:lang w:val="en-GB"/>
        </w:rPr>
      </w:pPr>
      <w:bookmarkStart w:id="6" w:name="_Hlk193371929"/>
      <w:r w:rsidRPr="007860B5">
        <w:rPr>
          <w:rFonts w:ascii="Times New Roman" w:hAnsi="Times New Roman" w:cs="Times New Roman"/>
          <w:b/>
          <w:bCs/>
          <w:sz w:val="24"/>
          <w:szCs w:val="24"/>
          <w:lang w:val="en-GB"/>
        </w:rPr>
        <w:t>Section</w:t>
      </w:r>
      <w:r w:rsidR="00AF1228" w:rsidRPr="007860B5">
        <w:rPr>
          <w:rFonts w:ascii="Times New Roman" w:hAnsi="Times New Roman" w:cs="Times New Roman"/>
          <w:b/>
          <w:bCs/>
          <w:sz w:val="24"/>
          <w:szCs w:val="24"/>
          <w:lang w:val="en-GB"/>
        </w:rPr>
        <w:t xml:space="preserve"> 3. </w:t>
      </w:r>
      <w:r w:rsidRPr="007860B5">
        <w:rPr>
          <w:rFonts w:ascii="Times New Roman" w:hAnsi="Times New Roman" w:cs="Times New Roman"/>
          <w:b/>
          <w:bCs/>
          <w:sz w:val="24"/>
          <w:szCs w:val="24"/>
          <w:lang w:val="en-GB"/>
        </w:rPr>
        <w:t>Adjustments to the business indicator</w:t>
      </w:r>
    </w:p>
    <w:bookmarkEnd w:id="6"/>
    <w:p w14:paraId="55ED1E3A" w14:textId="770E9857" w:rsidR="00456A81" w:rsidRPr="007860B5" w:rsidRDefault="00AF1228" w:rsidP="00AF1228">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14. </w:t>
      </w:r>
      <w:r w:rsidRPr="007860B5">
        <w:rPr>
          <w:rFonts w:ascii="Times New Roman" w:hAnsi="Times New Roman" w:cs="Times New Roman"/>
          <w:bCs/>
          <w:sz w:val="24"/>
          <w:szCs w:val="24"/>
          <w:lang w:val="en-GB"/>
        </w:rPr>
        <w:t>  </w:t>
      </w:r>
      <w:r w:rsidR="00AB40A3" w:rsidRPr="007860B5">
        <w:rPr>
          <w:rFonts w:ascii="Times New Roman" w:hAnsi="Times New Roman" w:cs="Times New Roman"/>
          <w:bCs/>
          <w:sz w:val="24"/>
          <w:szCs w:val="24"/>
          <w:lang w:val="en-GB"/>
        </w:rPr>
        <w:t>Banks shall include business indicator items of merged or acquired entities or activities in their business indicator calculation from the time of the merger or acquisition, as applicable, and shall cover the last three financial years</w:t>
      </w:r>
      <w:r w:rsidRPr="007860B5">
        <w:rPr>
          <w:rFonts w:ascii="Times New Roman" w:hAnsi="Times New Roman" w:cs="Times New Roman"/>
          <w:bCs/>
          <w:sz w:val="24"/>
          <w:szCs w:val="24"/>
          <w:lang w:val="en-GB"/>
        </w:rPr>
        <w:t>.</w:t>
      </w:r>
    </w:p>
    <w:p w14:paraId="5D3F86D2" w14:textId="257F6E70" w:rsidR="00AF1228" w:rsidRPr="007860B5" w:rsidRDefault="002375BD" w:rsidP="00AF1228">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lastRenderedPageBreak/>
        <w:t>15.  </w:t>
      </w:r>
      <w:r w:rsidR="00AB40A3" w:rsidRPr="007860B5">
        <w:rPr>
          <w:rFonts w:ascii="Times New Roman" w:hAnsi="Times New Roman" w:cs="Times New Roman"/>
          <w:bCs/>
          <w:sz w:val="24"/>
          <w:szCs w:val="24"/>
          <w:lang w:val="en-GB"/>
        </w:rPr>
        <w:t>Banks may request permission from the NBM to exclude from the business indicator amounts related to disposed entities or activities.</w:t>
      </w:r>
    </w:p>
    <w:p w14:paraId="3B764B14" w14:textId="36482E35" w:rsidR="002375BD" w:rsidRPr="007860B5" w:rsidRDefault="00AB40A3" w:rsidP="00055578">
      <w:pPr>
        <w:jc w:val="center"/>
        <w:rPr>
          <w:rFonts w:ascii="Times New Roman" w:hAnsi="Times New Roman" w:cs="Times New Roman"/>
          <w:b/>
          <w:sz w:val="24"/>
          <w:szCs w:val="24"/>
          <w:lang w:val="en-GB"/>
        </w:rPr>
      </w:pPr>
      <w:bookmarkStart w:id="7" w:name="_Hlk193372028"/>
      <w:r w:rsidRPr="007860B5">
        <w:rPr>
          <w:rFonts w:ascii="Times New Roman" w:hAnsi="Times New Roman" w:cs="Times New Roman"/>
          <w:b/>
          <w:sz w:val="24"/>
          <w:szCs w:val="24"/>
          <w:lang w:val="en-GB"/>
        </w:rPr>
        <w:t>CHAPTER</w:t>
      </w:r>
      <w:r w:rsidR="002375BD" w:rsidRPr="007860B5">
        <w:rPr>
          <w:rFonts w:ascii="Times New Roman" w:hAnsi="Times New Roman" w:cs="Times New Roman"/>
          <w:b/>
          <w:sz w:val="24"/>
          <w:szCs w:val="24"/>
          <w:lang w:val="en-GB"/>
        </w:rPr>
        <w:t xml:space="preserve"> III</w:t>
      </w:r>
    </w:p>
    <w:bookmarkEnd w:id="7"/>
    <w:p w14:paraId="442B14E2" w14:textId="66277F89" w:rsidR="002375BD" w:rsidRPr="007860B5" w:rsidRDefault="00AB40A3" w:rsidP="00AB40A3">
      <w:pPr>
        <w:jc w:val="cente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DATA COLLECTION AND GOVERNANCE</w:t>
      </w:r>
    </w:p>
    <w:p w14:paraId="43CCFB0B" w14:textId="5B542958" w:rsidR="002375BD" w:rsidRPr="007860B5" w:rsidRDefault="00AB40A3" w:rsidP="002375BD">
      <w:pPr>
        <w:rPr>
          <w:rFonts w:ascii="Times New Roman" w:hAnsi="Times New Roman" w:cs="Times New Roman"/>
          <w:b/>
          <w:bCs/>
          <w:sz w:val="24"/>
          <w:szCs w:val="24"/>
          <w:lang w:val="en-GB"/>
        </w:rPr>
      </w:pPr>
      <w:bookmarkStart w:id="8" w:name="_Hlk193372056"/>
      <w:r w:rsidRPr="007860B5">
        <w:rPr>
          <w:rFonts w:ascii="Times New Roman" w:hAnsi="Times New Roman" w:cs="Times New Roman"/>
          <w:b/>
          <w:bCs/>
          <w:sz w:val="24"/>
          <w:szCs w:val="24"/>
          <w:lang w:val="en-GB"/>
        </w:rPr>
        <w:t>Sections</w:t>
      </w:r>
      <w:r w:rsidR="002375BD" w:rsidRPr="007860B5">
        <w:rPr>
          <w:rFonts w:ascii="Times New Roman" w:hAnsi="Times New Roman" w:cs="Times New Roman"/>
          <w:b/>
          <w:bCs/>
          <w:sz w:val="24"/>
          <w:szCs w:val="24"/>
          <w:lang w:val="en-GB"/>
        </w:rPr>
        <w:t xml:space="preserve"> 1. </w:t>
      </w:r>
      <w:bookmarkEnd w:id="8"/>
      <w:r w:rsidRPr="007860B5">
        <w:rPr>
          <w:rFonts w:ascii="Times New Roman" w:hAnsi="Times New Roman" w:cs="Times New Roman"/>
          <w:b/>
          <w:bCs/>
          <w:sz w:val="24"/>
          <w:szCs w:val="24"/>
          <w:lang w:val="en-GB"/>
        </w:rPr>
        <w:t>Calculation of the annual operational risk loss</w:t>
      </w:r>
    </w:p>
    <w:p w14:paraId="408F5E84" w14:textId="2F6DA2C7" w:rsidR="00AB40A3"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16.</w:t>
      </w:r>
      <w:r w:rsidRPr="007860B5">
        <w:rPr>
          <w:rFonts w:ascii="Times New Roman" w:hAnsi="Times New Roman" w:cs="Times New Roman"/>
          <w:bCs/>
          <w:sz w:val="24"/>
          <w:szCs w:val="24"/>
          <w:lang w:val="en-GB"/>
        </w:rPr>
        <w:t> </w:t>
      </w:r>
      <w:r w:rsidR="00AB40A3" w:rsidRPr="007860B5">
        <w:rPr>
          <w:rFonts w:ascii="Times New Roman" w:hAnsi="Times New Roman" w:cs="Times New Roman"/>
          <w:bCs/>
          <w:sz w:val="24"/>
          <w:szCs w:val="24"/>
          <w:lang w:val="en-GB"/>
        </w:rPr>
        <w:t>Banks with a business indicator equal to or exceeding MDL 750 million shall calculate their annual operational risk loss as the sum of all net losses over a given financial year, calculated in accordance with paragraph 28, that are equal to or exceed the loss data thresholds set out in paragraph 36 or 37.</w:t>
      </w:r>
    </w:p>
    <w:p w14:paraId="7A98CEEA" w14:textId="383750C1" w:rsidR="00D27847" w:rsidRPr="007860B5" w:rsidRDefault="002375BD" w:rsidP="00AF1228">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17.</w:t>
      </w:r>
      <w:r w:rsidRPr="007860B5">
        <w:rPr>
          <w:rFonts w:ascii="Times New Roman" w:hAnsi="Times New Roman" w:cs="Times New Roman"/>
          <w:bCs/>
          <w:sz w:val="24"/>
          <w:szCs w:val="24"/>
          <w:lang w:val="en-GB"/>
        </w:rPr>
        <w:t xml:space="preserve"> </w:t>
      </w:r>
      <w:r w:rsidR="00D27847" w:rsidRPr="007860B5">
        <w:rPr>
          <w:rFonts w:ascii="Times New Roman" w:hAnsi="Times New Roman" w:cs="Times New Roman"/>
          <w:bCs/>
          <w:sz w:val="24"/>
          <w:szCs w:val="24"/>
          <w:lang w:val="en-GB"/>
        </w:rPr>
        <w:t>By way of derogation from paragraph 16, the NBM may grant a waiver from the requirement to calculate an annual operational risk loss to banks with a business indicator that does not exceed MDL 1 billion, provided that the bank has demonstrated to the satisfaction of the NBM that it would be unduly burdensome for the bank to apply the paragraph 16.</w:t>
      </w:r>
    </w:p>
    <w:p w14:paraId="6076CA99" w14:textId="1FA65A57" w:rsidR="00BD2241" w:rsidRPr="007860B5" w:rsidRDefault="002375BD" w:rsidP="00AF1228">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18.</w:t>
      </w:r>
      <w:r w:rsidRPr="007860B5">
        <w:rPr>
          <w:rFonts w:ascii="Times New Roman" w:hAnsi="Times New Roman" w:cs="Times New Roman"/>
          <w:bCs/>
          <w:sz w:val="24"/>
          <w:szCs w:val="24"/>
          <w:lang w:val="en-GB"/>
        </w:rPr>
        <w:t> </w:t>
      </w:r>
      <w:r w:rsidR="00BD2241" w:rsidRPr="007860B5">
        <w:rPr>
          <w:rFonts w:ascii="Times New Roman" w:hAnsi="Times New Roman" w:cs="Times New Roman"/>
          <w:bCs/>
          <w:sz w:val="24"/>
          <w:szCs w:val="24"/>
          <w:lang w:val="en-GB"/>
        </w:rPr>
        <w:t>For the purposes of paragraph 16, the relevant business indicator shall be the highest value of the business indicator that the bank has reported at the last eight reporting reference dates. A bank that has not yet reported its business indicator shall use its most recent business indicator.</w:t>
      </w:r>
    </w:p>
    <w:p w14:paraId="4B0A44EF" w14:textId="5F22ADE7" w:rsidR="002375BD" w:rsidRPr="007860B5" w:rsidRDefault="00BD2241" w:rsidP="002375BD">
      <w:pPr>
        <w:rPr>
          <w:rFonts w:ascii="Times New Roman" w:hAnsi="Times New Roman" w:cs="Times New Roman"/>
          <w:b/>
          <w:bCs/>
          <w:sz w:val="24"/>
          <w:szCs w:val="24"/>
          <w:lang w:val="en-GB"/>
        </w:rPr>
      </w:pPr>
      <w:bookmarkStart w:id="9" w:name="_Hlk193372077"/>
      <w:r w:rsidRPr="007860B5">
        <w:rPr>
          <w:rFonts w:ascii="Times New Roman" w:hAnsi="Times New Roman" w:cs="Times New Roman"/>
          <w:b/>
          <w:bCs/>
          <w:sz w:val="24"/>
          <w:szCs w:val="24"/>
          <w:lang w:val="en-GB"/>
        </w:rPr>
        <w:t>Section</w:t>
      </w:r>
      <w:r w:rsidR="002375BD" w:rsidRPr="007860B5">
        <w:rPr>
          <w:rFonts w:ascii="Times New Roman" w:hAnsi="Times New Roman" w:cs="Times New Roman"/>
          <w:b/>
          <w:bCs/>
          <w:sz w:val="24"/>
          <w:szCs w:val="24"/>
          <w:lang w:val="en-GB"/>
        </w:rPr>
        <w:t xml:space="preserve"> 2. </w:t>
      </w:r>
      <w:r w:rsidRPr="007860B5">
        <w:rPr>
          <w:rFonts w:ascii="Times New Roman" w:hAnsi="Times New Roman" w:cs="Times New Roman"/>
          <w:b/>
          <w:bCs/>
          <w:sz w:val="24"/>
          <w:szCs w:val="24"/>
          <w:lang w:val="en-GB"/>
        </w:rPr>
        <w:t>Loss data set</w:t>
      </w:r>
    </w:p>
    <w:bookmarkEnd w:id="9"/>
    <w:p w14:paraId="6B2F38A8" w14:textId="170E7432" w:rsidR="00BD2241"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19.</w:t>
      </w:r>
      <w:r w:rsidRPr="007860B5">
        <w:rPr>
          <w:rFonts w:ascii="Times New Roman" w:hAnsi="Times New Roman" w:cs="Times New Roman"/>
          <w:bCs/>
          <w:sz w:val="24"/>
          <w:szCs w:val="24"/>
          <w:lang w:val="en-GB"/>
        </w:rPr>
        <w:t> </w:t>
      </w:r>
      <w:r w:rsidR="00BD2241" w:rsidRPr="007860B5">
        <w:rPr>
          <w:rFonts w:ascii="Times New Roman" w:hAnsi="Times New Roman" w:cs="Times New Roman"/>
          <w:bCs/>
          <w:sz w:val="24"/>
          <w:szCs w:val="24"/>
          <w:lang w:val="en-GB"/>
        </w:rPr>
        <w:t>Banks that calculate an annual operational risk loss in accordance with paragraph 16 shall have in place arrangements, processes and mechanisms to establish and maintain updated on an ongoing basis a loss data set compiling for each recorded operational risk event the gross loss amounts, non-insurance recoveries, insurance recoveries, reference dates and grouped losses, including those from misconduct events.</w:t>
      </w:r>
    </w:p>
    <w:p w14:paraId="1A3A7EC8" w14:textId="423C9196" w:rsidR="00D33840"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20.</w:t>
      </w:r>
      <w:r w:rsidRPr="007860B5">
        <w:rPr>
          <w:rFonts w:ascii="Times New Roman" w:hAnsi="Times New Roman" w:cs="Times New Roman"/>
          <w:bCs/>
          <w:sz w:val="24"/>
          <w:szCs w:val="24"/>
          <w:lang w:val="en-GB"/>
        </w:rPr>
        <w:t> </w:t>
      </w:r>
      <w:r w:rsidR="00D33840" w:rsidRPr="007860B5">
        <w:rPr>
          <w:rFonts w:ascii="Times New Roman" w:hAnsi="Times New Roman" w:cs="Times New Roman"/>
          <w:bCs/>
          <w:sz w:val="24"/>
          <w:szCs w:val="24"/>
          <w:lang w:val="en-GB"/>
        </w:rPr>
        <w:t>The bank’s loss data set shall capture all operational risk events stemming from all entities that are part of the scope of consolidation according to the Regulation on consolidated supervision of banks, approved by Decision No 101/2020 of the Executive Board of the National Bank of Moldova.</w:t>
      </w:r>
    </w:p>
    <w:p w14:paraId="3B39A624" w14:textId="7296AC60" w:rsidR="002375BD" w:rsidRPr="007860B5" w:rsidRDefault="002375BD" w:rsidP="002375BD">
      <w:pPr>
        <w:rPr>
          <w:rFonts w:ascii="Times New Roman" w:hAnsi="Times New Roman" w:cs="Times New Roman"/>
          <w:bCs/>
          <w:sz w:val="24"/>
          <w:szCs w:val="24"/>
          <w:lang w:val="en-GB"/>
        </w:rPr>
      </w:pPr>
      <w:bookmarkStart w:id="10" w:name="_Hlk193369974"/>
      <w:r w:rsidRPr="007860B5">
        <w:rPr>
          <w:rFonts w:ascii="Times New Roman" w:hAnsi="Times New Roman" w:cs="Times New Roman"/>
          <w:b/>
          <w:sz w:val="24"/>
          <w:szCs w:val="24"/>
          <w:lang w:val="en-GB"/>
        </w:rPr>
        <w:t>21.</w:t>
      </w:r>
      <w:r w:rsidRPr="007860B5">
        <w:rPr>
          <w:rFonts w:ascii="Times New Roman" w:hAnsi="Times New Roman" w:cs="Times New Roman"/>
          <w:bCs/>
          <w:sz w:val="24"/>
          <w:szCs w:val="24"/>
          <w:lang w:val="en-GB"/>
        </w:rPr>
        <w:t>  </w:t>
      </w:r>
      <w:r w:rsidR="00495DE2" w:rsidRPr="007860B5">
        <w:rPr>
          <w:rFonts w:ascii="Times New Roman" w:hAnsi="Times New Roman" w:cs="Times New Roman"/>
          <w:bCs/>
          <w:sz w:val="24"/>
          <w:szCs w:val="24"/>
          <w:lang w:val="en-GB"/>
        </w:rPr>
        <w:t>For the purpose of paragraph 19, banks shall</w:t>
      </w:r>
      <w:r w:rsidR="00BB0145">
        <w:rPr>
          <w:rFonts w:ascii="Times New Roman" w:hAnsi="Times New Roman" w:cs="Times New Roman"/>
          <w:bCs/>
          <w:sz w:val="24"/>
          <w:szCs w:val="24"/>
          <w:lang w:val="en-GB"/>
        </w:rPr>
        <w:t>:</w:t>
      </w:r>
    </w:p>
    <w:p w14:paraId="2DA77923" w14:textId="24A1B44B"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21.1. </w:t>
      </w:r>
      <w:r w:rsidR="00495DE2" w:rsidRPr="007860B5">
        <w:rPr>
          <w:rFonts w:ascii="Times New Roman" w:hAnsi="Times New Roman" w:cs="Times New Roman"/>
          <w:bCs/>
          <w:sz w:val="24"/>
          <w:szCs w:val="24"/>
          <w:lang w:val="en-GB"/>
        </w:rPr>
        <w:t xml:space="preserve">include in the loss data set each operational risk event recorded during one or multiple financial </w:t>
      </w:r>
      <w:proofErr w:type="gramStart"/>
      <w:r w:rsidR="00495DE2" w:rsidRPr="007860B5">
        <w:rPr>
          <w:rFonts w:ascii="Times New Roman" w:hAnsi="Times New Roman" w:cs="Times New Roman"/>
          <w:bCs/>
          <w:sz w:val="24"/>
          <w:szCs w:val="24"/>
          <w:lang w:val="en-GB"/>
        </w:rPr>
        <w:t>years</w:t>
      </w:r>
      <w:r w:rsidRPr="007860B5">
        <w:rPr>
          <w:rFonts w:ascii="Times New Roman" w:hAnsi="Times New Roman" w:cs="Times New Roman"/>
          <w:bCs/>
          <w:sz w:val="24"/>
          <w:szCs w:val="24"/>
          <w:lang w:val="en-GB"/>
        </w:rPr>
        <w:t>;</w:t>
      </w:r>
      <w:proofErr w:type="gramEnd"/>
    </w:p>
    <w:p w14:paraId="0CDF0730" w14:textId="4BCB378C"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21.2. </w:t>
      </w:r>
      <w:r w:rsidR="00495DE2" w:rsidRPr="007860B5">
        <w:rPr>
          <w:rFonts w:ascii="Times New Roman" w:hAnsi="Times New Roman" w:cs="Times New Roman"/>
          <w:bCs/>
          <w:sz w:val="24"/>
          <w:szCs w:val="24"/>
          <w:lang w:val="en-GB"/>
        </w:rPr>
        <w:t xml:space="preserve">use the date of accounting for including losses related to operational risk events in the loss data </w:t>
      </w:r>
      <w:proofErr w:type="gramStart"/>
      <w:r w:rsidR="00495DE2" w:rsidRPr="007860B5">
        <w:rPr>
          <w:rFonts w:ascii="Times New Roman" w:hAnsi="Times New Roman" w:cs="Times New Roman"/>
          <w:bCs/>
          <w:sz w:val="24"/>
          <w:szCs w:val="24"/>
          <w:lang w:val="en-GB"/>
        </w:rPr>
        <w:t>set</w:t>
      </w:r>
      <w:r w:rsidRPr="007860B5">
        <w:rPr>
          <w:rFonts w:ascii="Times New Roman" w:hAnsi="Times New Roman" w:cs="Times New Roman"/>
          <w:bCs/>
          <w:sz w:val="24"/>
          <w:szCs w:val="24"/>
          <w:lang w:val="en-GB"/>
        </w:rPr>
        <w:t>;</w:t>
      </w:r>
      <w:proofErr w:type="gramEnd"/>
    </w:p>
    <w:p w14:paraId="330F915A" w14:textId="6F89B58B"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21.3. </w:t>
      </w:r>
      <w:bookmarkEnd w:id="10"/>
      <w:r w:rsidR="00495DE2" w:rsidRPr="007860B5">
        <w:rPr>
          <w:rFonts w:ascii="Times New Roman" w:hAnsi="Times New Roman" w:cs="Times New Roman"/>
          <w:bCs/>
          <w:sz w:val="24"/>
          <w:szCs w:val="24"/>
          <w:lang w:val="en-GB"/>
        </w:rPr>
        <w:t>allocate losses and recoveries related to a common operational risk event or related operational risk events over time and posted to the accounts over several years, to the corresponding financial years of the loss data set, in line with their accounting treatment</w:t>
      </w:r>
      <w:r w:rsidRPr="007860B5">
        <w:rPr>
          <w:rFonts w:ascii="Times New Roman" w:hAnsi="Times New Roman" w:cs="Times New Roman"/>
          <w:bCs/>
          <w:sz w:val="24"/>
          <w:szCs w:val="24"/>
          <w:lang w:val="en-GB"/>
        </w:rPr>
        <w:t>.</w:t>
      </w:r>
    </w:p>
    <w:p w14:paraId="39983038" w14:textId="3DBF1759"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22.</w:t>
      </w:r>
      <w:r w:rsidRPr="007860B5">
        <w:rPr>
          <w:rFonts w:ascii="Times New Roman" w:hAnsi="Times New Roman" w:cs="Times New Roman"/>
          <w:bCs/>
          <w:sz w:val="24"/>
          <w:szCs w:val="24"/>
          <w:lang w:val="en-GB"/>
        </w:rPr>
        <w:t>   </w:t>
      </w:r>
      <w:r w:rsidR="00495DE2" w:rsidRPr="007860B5">
        <w:rPr>
          <w:rFonts w:ascii="Times New Roman" w:hAnsi="Times New Roman" w:cs="Times New Roman"/>
          <w:bCs/>
          <w:sz w:val="24"/>
          <w:szCs w:val="24"/>
          <w:lang w:val="en-GB"/>
        </w:rPr>
        <w:t>Banks shall also collect</w:t>
      </w:r>
      <w:r w:rsidRPr="007860B5">
        <w:rPr>
          <w:rFonts w:ascii="Times New Roman" w:hAnsi="Times New Roman" w:cs="Times New Roman"/>
          <w:bCs/>
          <w:sz w:val="24"/>
          <w:szCs w:val="24"/>
          <w:lang w:val="en-GB"/>
        </w:rPr>
        <w:t>:</w:t>
      </w:r>
    </w:p>
    <w:p w14:paraId="1E7EA32C" w14:textId="1FDFBC6D"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22.1. </w:t>
      </w:r>
      <w:r w:rsidR="00495DE2" w:rsidRPr="007860B5">
        <w:rPr>
          <w:rFonts w:ascii="Times New Roman" w:hAnsi="Times New Roman" w:cs="Times New Roman"/>
          <w:bCs/>
          <w:sz w:val="24"/>
          <w:szCs w:val="24"/>
          <w:lang w:val="en-GB"/>
        </w:rPr>
        <w:t>information about the reference dates of operational risk events, including</w:t>
      </w:r>
      <w:r w:rsidRPr="007860B5">
        <w:rPr>
          <w:rFonts w:ascii="Times New Roman" w:hAnsi="Times New Roman" w:cs="Times New Roman"/>
          <w:bCs/>
          <w:sz w:val="24"/>
          <w:szCs w:val="24"/>
          <w:lang w:val="en-GB"/>
        </w:rPr>
        <w:t>:</w:t>
      </w:r>
    </w:p>
    <w:p w14:paraId="7B4685C1" w14:textId="6956FBDA"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22.1.1. </w:t>
      </w:r>
      <w:r w:rsidR="00495DE2" w:rsidRPr="007860B5">
        <w:rPr>
          <w:rFonts w:ascii="Times New Roman" w:hAnsi="Times New Roman" w:cs="Times New Roman"/>
          <w:bCs/>
          <w:sz w:val="24"/>
          <w:szCs w:val="24"/>
          <w:lang w:val="en-GB"/>
        </w:rPr>
        <w:t xml:space="preserve">the date when the operational risk event happened or first began (“date of occurrence”), where </w:t>
      </w:r>
      <w:proofErr w:type="gramStart"/>
      <w:r w:rsidR="00495DE2" w:rsidRPr="007860B5">
        <w:rPr>
          <w:rFonts w:ascii="Times New Roman" w:hAnsi="Times New Roman" w:cs="Times New Roman"/>
          <w:bCs/>
          <w:sz w:val="24"/>
          <w:szCs w:val="24"/>
          <w:lang w:val="en-GB"/>
        </w:rPr>
        <w:t>available</w:t>
      </w:r>
      <w:r w:rsidRPr="007860B5">
        <w:rPr>
          <w:rFonts w:ascii="Times New Roman" w:hAnsi="Times New Roman" w:cs="Times New Roman"/>
          <w:bCs/>
          <w:sz w:val="24"/>
          <w:szCs w:val="24"/>
          <w:lang w:val="en-GB"/>
        </w:rPr>
        <w:t>;</w:t>
      </w:r>
      <w:proofErr w:type="gramEnd"/>
    </w:p>
    <w:p w14:paraId="5B8634D9" w14:textId="2D72EEB1"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lastRenderedPageBreak/>
        <w:t>22.1.2. </w:t>
      </w:r>
      <w:r w:rsidR="00495DE2" w:rsidRPr="007860B5">
        <w:rPr>
          <w:rFonts w:ascii="Times New Roman" w:hAnsi="Times New Roman" w:cs="Times New Roman"/>
          <w:bCs/>
          <w:sz w:val="24"/>
          <w:szCs w:val="24"/>
          <w:lang w:val="en-GB"/>
        </w:rPr>
        <w:t>the date on which the bank became aware of the operational risk event (“date of discovery”</w:t>
      </w:r>
      <w:proofErr w:type="gramStart"/>
      <w:r w:rsidR="00495DE2" w:rsidRPr="007860B5">
        <w:rPr>
          <w:rFonts w:ascii="Times New Roman" w:hAnsi="Times New Roman" w:cs="Times New Roman"/>
          <w:bCs/>
          <w:sz w:val="24"/>
          <w:szCs w:val="24"/>
          <w:lang w:val="en-GB"/>
        </w:rPr>
        <w:t>)</w:t>
      </w:r>
      <w:r w:rsidRPr="007860B5">
        <w:rPr>
          <w:rFonts w:ascii="Times New Roman" w:hAnsi="Times New Roman" w:cs="Times New Roman"/>
          <w:bCs/>
          <w:sz w:val="24"/>
          <w:szCs w:val="24"/>
          <w:lang w:val="en-GB"/>
        </w:rPr>
        <w:t>;</w:t>
      </w:r>
      <w:proofErr w:type="gramEnd"/>
    </w:p>
    <w:p w14:paraId="46A64CDC" w14:textId="40633992"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22.1.3. </w:t>
      </w:r>
      <w:r w:rsidR="00495DE2" w:rsidRPr="007860B5">
        <w:rPr>
          <w:rFonts w:ascii="Times New Roman" w:hAnsi="Times New Roman" w:cs="Times New Roman"/>
          <w:bCs/>
          <w:sz w:val="24"/>
          <w:szCs w:val="24"/>
          <w:lang w:val="en-GB"/>
        </w:rPr>
        <w:t>the date or dates on which an operational risk event results in a loss, or the reserve or provision against a loss, recognised in the bank’s profit and loss accounts (“date of accounting”</w:t>
      </w:r>
      <w:proofErr w:type="gramStart"/>
      <w:r w:rsidR="00495DE2" w:rsidRPr="007860B5">
        <w:rPr>
          <w:rFonts w:ascii="Times New Roman" w:hAnsi="Times New Roman" w:cs="Times New Roman"/>
          <w:bCs/>
          <w:sz w:val="24"/>
          <w:szCs w:val="24"/>
          <w:lang w:val="en-GB"/>
        </w:rPr>
        <w:t>)</w:t>
      </w:r>
      <w:r w:rsidRPr="007860B5">
        <w:rPr>
          <w:rFonts w:ascii="Times New Roman" w:hAnsi="Times New Roman" w:cs="Times New Roman"/>
          <w:bCs/>
          <w:sz w:val="24"/>
          <w:szCs w:val="24"/>
          <w:lang w:val="en-GB"/>
        </w:rPr>
        <w:t>;</w:t>
      </w:r>
      <w:proofErr w:type="gramEnd"/>
    </w:p>
    <w:p w14:paraId="74DF8091" w14:textId="2FA3F48C"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22.2. </w:t>
      </w:r>
      <w:r w:rsidR="00495DE2" w:rsidRPr="007860B5">
        <w:rPr>
          <w:rFonts w:ascii="Times New Roman" w:hAnsi="Times New Roman" w:cs="Times New Roman"/>
          <w:bCs/>
          <w:sz w:val="24"/>
          <w:szCs w:val="24"/>
          <w:lang w:val="en-GB"/>
        </w:rPr>
        <w:t>information on any recoveries of gross loss amounts as well as descriptive information about the drivers or causes of the loss events</w:t>
      </w:r>
      <w:r w:rsidRPr="007860B5">
        <w:rPr>
          <w:rFonts w:ascii="Times New Roman" w:hAnsi="Times New Roman" w:cs="Times New Roman"/>
          <w:bCs/>
          <w:sz w:val="24"/>
          <w:szCs w:val="24"/>
          <w:lang w:val="en-GB"/>
        </w:rPr>
        <w:t>.</w:t>
      </w:r>
    </w:p>
    <w:p w14:paraId="5FA37E22" w14:textId="41A50A1A" w:rsidR="002375BD" w:rsidRPr="007860B5" w:rsidRDefault="002375BD"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23.</w:t>
      </w:r>
      <w:r w:rsidRPr="007860B5">
        <w:rPr>
          <w:rFonts w:ascii="Times New Roman" w:hAnsi="Times New Roman" w:cs="Times New Roman"/>
          <w:bCs/>
          <w:sz w:val="24"/>
          <w:szCs w:val="24"/>
          <w:lang w:val="en-GB"/>
        </w:rPr>
        <w:t xml:space="preserve"> </w:t>
      </w:r>
      <w:r w:rsidR="005347CB" w:rsidRPr="007860B5">
        <w:rPr>
          <w:rFonts w:ascii="Times New Roman" w:hAnsi="Times New Roman" w:cs="Times New Roman"/>
          <w:bCs/>
          <w:sz w:val="24"/>
          <w:szCs w:val="24"/>
          <w:lang w:val="en-GB"/>
        </w:rPr>
        <w:t>The level of detail of any descriptive information shall be commensurate with the size of the gross loss amount</w:t>
      </w:r>
      <w:r w:rsidRPr="007860B5">
        <w:rPr>
          <w:rFonts w:ascii="Times New Roman" w:hAnsi="Times New Roman" w:cs="Times New Roman"/>
          <w:bCs/>
          <w:sz w:val="24"/>
          <w:szCs w:val="24"/>
          <w:lang w:val="en-GB"/>
        </w:rPr>
        <w:t>.</w:t>
      </w:r>
    </w:p>
    <w:p w14:paraId="1C51991F" w14:textId="63B48EE7" w:rsidR="00F47597" w:rsidRPr="007860B5" w:rsidRDefault="00F47597"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24.</w:t>
      </w:r>
      <w:r w:rsidRPr="007860B5">
        <w:rPr>
          <w:rFonts w:ascii="Times New Roman" w:hAnsi="Times New Roman" w:cs="Times New Roman"/>
          <w:bCs/>
          <w:sz w:val="24"/>
          <w:szCs w:val="24"/>
          <w:lang w:val="en-GB"/>
        </w:rPr>
        <w:t> </w:t>
      </w:r>
      <w:r w:rsidR="005347CB" w:rsidRPr="007860B5">
        <w:rPr>
          <w:rFonts w:ascii="Times New Roman" w:hAnsi="Times New Roman" w:cs="Times New Roman"/>
          <w:bCs/>
          <w:sz w:val="24"/>
          <w:szCs w:val="24"/>
          <w:lang w:val="en-GB"/>
        </w:rPr>
        <w:t>A bank shall not include in the loss data set operational risk events related to credit risk that are accounted for in the risk-weighted exposure amount for credit risk. Operational risk events that relate to credit risk but are not accounted for in the risk-weighted exposure amount for credit risk shall be included in the loss data set.</w:t>
      </w:r>
    </w:p>
    <w:p w14:paraId="56D1CE97" w14:textId="42298133" w:rsidR="00F47597" w:rsidRPr="007860B5" w:rsidRDefault="00F47597"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25.</w:t>
      </w:r>
      <w:r w:rsidRPr="007860B5">
        <w:rPr>
          <w:rFonts w:ascii="Times New Roman" w:hAnsi="Times New Roman" w:cs="Times New Roman"/>
          <w:bCs/>
          <w:sz w:val="24"/>
          <w:szCs w:val="24"/>
          <w:lang w:val="en-GB"/>
        </w:rPr>
        <w:t> </w:t>
      </w:r>
      <w:r w:rsidR="005347CB" w:rsidRPr="007860B5">
        <w:rPr>
          <w:rFonts w:ascii="Times New Roman" w:hAnsi="Times New Roman" w:cs="Times New Roman"/>
          <w:bCs/>
          <w:sz w:val="24"/>
          <w:szCs w:val="24"/>
          <w:lang w:val="en-GB"/>
        </w:rPr>
        <w:t>Operational risk events related to market risk shall be treated as operational risk and shall be included in the loss data set</w:t>
      </w:r>
      <w:r w:rsidRPr="007860B5">
        <w:rPr>
          <w:rFonts w:ascii="Times New Roman" w:hAnsi="Times New Roman" w:cs="Times New Roman"/>
          <w:bCs/>
          <w:sz w:val="24"/>
          <w:szCs w:val="24"/>
          <w:lang w:val="en-GB"/>
        </w:rPr>
        <w:t>.</w:t>
      </w:r>
    </w:p>
    <w:p w14:paraId="61E745FC" w14:textId="48AF73D8" w:rsidR="00F47597" w:rsidRPr="007860B5" w:rsidRDefault="00F47597" w:rsidP="002375BD">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26.</w:t>
      </w:r>
      <w:r w:rsidRPr="007860B5">
        <w:rPr>
          <w:rFonts w:ascii="Times New Roman" w:hAnsi="Times New Roman" w:cs="Times New Roman"/>
          <w:bCs/>
          <w:sz w:val="24"/>
          <w:szCs w:val="24"/>
          <w:lang w:val="en-GB"/>
        </w:rPr>
        <w:t> </w:t>
      </w:r>
      <w:r w:rsidR="005347CB" w:rsidRPr="007860B5">
        <w:rPr>
          <w:rFonts w:ascii="Times New Roman" w:hAnsi="Times New Roman" w:cs="Times New Roman"/>
          <w:bCs/>
          <w:sz w:val="24"/>
          <w:szCs w:val="24"/>
          <w:lang w:val="en-GB"/>
        </w:rPr>
        <w:t>A bank shall, upon request from the NBM, be able to map its historical internal loss data to the event type</w:t>
      </w:r>
      <w:r w:rsidR="00F55300">
        <w:rPr>
          <w:rFonts w:ascii="Times New Roman" w:hAnsi="Times New Roman" w:cs="Times New Roman"/>
          <w:bCs/>
          <w:sz w:val="24"/>
          <w:szCs w:val="24"/>
          <w:lang w:val="en-GB"/>
        </w:rPr>
        <w:t>.</w:t>
      </w:r>
    </w:p>
    <w:p w14:paraId="1A217341" w14:textId="057F277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27.</w:t>
      </w:r>
      <w:r w:rsidRPr="007860B5">
        <w:rPr>
          <w:rFonts w:ascii="Times New Roman" w:hAnsi="Times New Roman" w:cs="Times New Roman"/>
          <w:bCs/>
          <w:sz w:val="24"/>
          <w:szCs w:val="24"/>
          <w:lang w:val="en-GB"/>
        </w:rPr>
        <w:t> </w:t>
      </w:r>
      <w:r w:rsidR="005347CB" w:rsidRPr="007860B5">
        <w:rPr>
          <w:rFonts w:ascii="Times New Roman" w:hAnsi="Times New Roman" w:cs="Times New Roman"/>
          <w:bCs/>
          <w:sz w:val="24"/>
          <w:szCs w:val="24"/>
          <w:lang w:val="en-GB"/>
        </w:rPr>
        <w:t xml:space="preserve">For the purposes of this Section, banks shall ensure the soundness, robustness and performance of their IT systems and infrastructure necessary to maintain and update the loss data set, </w:t>
      </w:r>
      <w:proofErr w:type="gramStart"/>
      <w:r w:rsidR="005347CB" w:rsidRPr="007860B5">
        <w:rPr>
          <w:rFonts w:ascii="Times New Roman" w:hAnsi="Times New Roman" w:cs="Times New Roman"/>
          <w:bCs/>
          <w:sz w:val="24"/>
          <w:szCs w:val="24"/>
          <w:lang w:val="en-GB"/>
        </w:rPr>
        <w:t>in particular by</w:t>
      </w:r>
      <w:proofErr w:type="gramEnd"/>
      <w:r w:rsidR="005347CB" w:rsidRPr="007860B5">
        <w:rPr>
          <w:rFonts w:ascii="Times New Roman" w:hAnsi="Times New Roman" w:cs="Times New Roman"/>
          <w:bCs/>
          <w:sz w:val="24"/>
          <w:szCs w:val="24"/>
          <w:lang w:val="en-GB"/>
        </w:rPr>
        <w:t xml:space="preserve"> ensuring </w:t>
      </w:r>
      <w:proofErr w:type="gramStart"/>
      <w:r w:rsidR="005347CB" w:rsidRPr="007860B5">
        <w:rPr>
          <w:rFonts w:ascii="Times New Roman" w:hAnsi="Times New Roman" w:cs="Times New Roman"/>
          <w:bCs/>
          <w:sz w:val="24"/>
          <w:szCs w:val="24"/>
          <w:lang w:val="en-GB"/>
        </w:rPr>
        <w:t>all of</w:t>
      </w:r>
      <w:proofErr w:type="gramEnd"/>
      <w:r w:rsidR="005347CB" w:rsidRPr="007860B5">
        <w:rPr>
          <w:rFonts w:ascii="Times New Roman" w:hAnsi="Times New Roman" w:cs="Times New Roman"/>
          <w:bCs/>
          <w:sz w:val="24"/>
          <w:szCs w:val="24"/>
          <w:lang w:val="en-GB"/>
        </w:rPr>
        <w:t xml:space="preserve"> the following:</w:t>
      </w:r>
    </w:p>
    <w:p w14:paraId="104F3A6B" w14:textId="2F0ADEB5"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27.1. </w:t>
      </w:r>
      <w:r w:rsidR="005347CB" w:rsidRPr="007860B5">
        <w:rPr>
          <w:rFonts w:ascii="Times New Roman" w:hAnsi="Times New Roman" w:cs="Times New Roman"/>
          <w:bCs/>
          <w:sz w:val="24"/>
          <w:szCs w:val="24"/>
          <w:lang w:val="en-GB"/>
        </w:rPr>
        <w:t xml:space="preserve">their IT systems and infrastructure are sound and resilient and that that soundness and resilience can be maintained on a continuous </w:t>
      </w:r>
      <w:proofErr w:type="gramStart"/>
      <w:r w:rsidR="005347CB" w:rsidRPr="007860B5">
        <w:rPr>
          <w:rFonts w:ascii="Times New Roman" w:hAnsi="Times New Roman" w:cs="Times New Roman"/>
          <w:bCs/>
          <w:sz w:val="24"/>
          <w:szCs w:val="24"/>
          <w:lang w:val="en-GB"/>
        </w:rPr>
        <w:t>basis;</w:t>
      </w:r>
      <w:proofErr w:type="gramEnd"/>
    </w:p>
    <w:p w14:paraId="4A80CF05" w14:textId="280695C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27.2. </w:t>
      </w:r>
      <w:r w:rsidR="00E364A2" w:rsidRPr="007860B5">
        <w:rPr>
          <w:rFonts w:ascii="Times New Roman" w:hAnsi="Times New Roman" w:cs="Times New Roman"/>
          <w:bCs/>
          <w:sz w:val="24"/>
          <w:szCs w:val="24"/>
          <w:lang w:val="en-GB"/>
        </w:rPr>
        <w:t xml:space="preserve">their IT systems and infrastructure are subject to configuration management, change management and release management </w:t>
      </w:r>
      <w:proofErr w:type="gramStart"/>
      <w:r w:rsidR="00E364A2" w:rsidRPr="007860B5">
        <w:rPr>
          <w:rFonts w:ascii="Times New Roman" w:hAnsi="Times New Roman" w:cs="Times New Roman"/>
          <w:bCs/>
          <w:sz w:val="24"/>
          <w:szCs w:val="24"/>
          <w:lang w:val="en-GB"/>
        </w:rPr>
        <w:t>processes</w:t>
      </w:r>
      <w:r w:rsidRPr="007860B5">
        <w:rPr>
          <w:rFonts w:ascii="Times New Roman" w:hAnsi="Times New Roman" w:cs="Times New Roman"/>
          <w:bCs/>
          <w:sz w:val="24"/>
          <w:szCs w:val="24"/>
          <w:lang w:val="en-GB"/>
        </w:rPr>
        <w:t>;</w:t>
      </w:r>
      <w:proofErr w:type="gramEnd"/>
    </w:p>
    <w:p w14:paraId="4A92DCD7" w14:textId="7061F6DD"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27.3. </w:t>
      </w:r>
      <w:r w:rsidR="00E364A2" w:rsidRPr="007860B5">
        <w:rPr>
          <w:rFonts w:ascii="Times New Roman" w:hAnsi="Times New Roman" w:cs="Times New Roman"/>
          <w:bCs/>
          <w:sz w:val="24"/>
          <w:szCs w:val="24"/>
          <w:lang w:val="en-GB"/>
        </w:rPr>
        <w:t>where a bank outsources parts of the maintenance of its IT systems and infrastructure, the soundness, robustness and performance of the IT systems and infrastructure is ensured by confirming at least the following:</w:t>
      </w:r>
    </w:p>
    <w:p w14:paraId="7F2EFEC4" w14:textId="3C7B116B"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27.3.1. </w:t>
      </w:r>
      <w:r w:rsidR="00E364A2" w:rsidRPr="007860B5">
        <w:rPr>
          <w:rFonts w:ascii="Times New Roman" w:hAnsi="Times New Roman" w:cs="Times New Roman"/>
          <w:bCs/>
          <w:sz w:val="24"/>
          <w:szCs w:val="24"/>
          <w:lang w:val="en-GB"/>
        </w:rPr>
        <w:t xml:space="preserve">its IT systems and infrastructure are sound and </w:t>
      </w:r>
      <w:proofErr w:type="gramStart"/>
      <w:r w:rsidR="00E364A2" w:rsidRPr="007860B5">
        <w:rPr>
          <w:rFonts w:ascii="Times New Roman" w:hAnsi="Times New Roman" w:cs="Times New Roman"/>
          <w:bCs/>
          <w:sz w:val="24"/>
          <w:szCs w:val="24"/>
          <w:lang w:val="en-GB"/>
        </w:rPr>
        <w:t>resilient</w:t>
      </w:r>
      <w:proofErr w:type="gramEnd"/>
      <w:r w:rsidR="00E364A2" w:rsidRPr="007860B5">
        <w:rPr>
          <w:rFonts w:ascii="Times New Roman" w:hAnsi="Times New Roman" w:cs="Times New Roman"/>
          <w:bCs/>
          <w:sz w:val="24"/>
          <w:szCs w:val="24"/>
          <w:lang w:val="en-GB"/>
        </w:rPr>
        <w:t xml:space="preserve"> and that soundness and resilience can be maintained on a continuous </w:t>
      </w:r>
      <w:proofErr w:type="gramStart"/>
      <w:r w:rsidR="00E364A2" w:rsidRPr="007860B5">
        <w:rPr>
          <w:rFonts w:ascii="Times New Roman" w:hAnsi="Times New Roman" w:cs="Times New Roman"/>
          <w:bCs/>
          <w:sz w:val="24"/>
          <w:szCs w:val="24"/>
          <w:lang w:val="en-GB"/>
        </w:rPr>
        <w:t>basis</w:t>
      </w:r>
      <w:r w:rsidRPr="007860B5">
        <w:rPr>
          <w:rFonts w:ascii="Times New Roman" w:hAnsi="Times New Roman" w:cs="Times New Roman"/>
          <w:bCs/>
          <w:sz w:val="24"/>
          <w:szCs w:val="24"/>
          <w:lang w:val="en-GB"/>
        </w:rPr>
        <w:t>;</w:t>
      </w:r>
      <w:proofErr w:type="gramEnd"/>
    </w:p>
    <w:p w14:paraId="48F09D2A" w14:textId="018219BF"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27.3.2. </w:t>
      </w:r>
      <w:r w:rsidR="00E364A2" w:rsidRPr="007860B5">
        <w:rPr>
          <w:rFonts w:ascii="Times New Roman" w:hAnsi="Times New Roman" w:cs="Times New Roman"/>
          <w:bCs/>
          <w:sz w:val="24"/>
          <w:szCs w:val="24"/>
          <w:lang w:val="en-GB"/>
        </w:rPr>
        <w:t xml:space="preserve">the process for planning, creating, testing and deploying the IT systems and infrastructure is sound and proper with reference to project management, risk management, governance, engineering, quality assurance and test planning, systems’ modelling and development, quality assurance in all activities, including code reviews and, where appropriate, code verification, and testing, including user </w:t>
      </w:r>
      <w:proofErr w:type="gramStart"/>
      <w:r w:rsidR="00E364A2" w:rsidRPr="007860B5">
        <w:rPr>
          <w:rFonts w:ascii="Times New Roman" w:hAnsi="Times New Roman" w:cs="Times New Roman"/>
          <w:bCs/>
          <w:sz w:val="24"/>
          <w:szCs w:val="24"/>
          <w:lang w:val="en-GB"/>
        </w:rPr>
        <w:t>acceptance</w:t>
      </w:r>
      <w:r w:rsidRPr="007860B5">
        <w:rPr>
          <w:rFonts w:ascii="Times New Roman" w:hAnsi="Times New Roman" w:cs="Times New Roman"/>
          <w:bCs/>
          <w:sz w:val="24"/>
          <w:szCs w:val="24"/>
          <w:lang w:val="en-GB"/>
        </w:rPr>
        <w:t>;</w:t>
      </w:r>
      <w:proofErr w:type="gramEnd"/>
    </w:p>
    <w:p w14:paraId="51CA26C1" w14:textId="16E798AD"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27.3.3. </w:t>
      </w:r>
      <w:r w:rsidR="00E364A2" w:rsidRPr="007860B5">
        <w:rPr>
          <w:rFonts w:ascii="Times New Roman" w:hAnsi="Times New Roman" w:cs="Times New Roman"/>
          <w:bCs/>
          <w:sz w:val="24"/>
          <w:szCs w:val="24"/>
          <w:lang w:val="en-GB"/>
        </w:rPr>
        <w:t xml:space="preserve">its IT systems and infrastructure are subject to configuration management, change management and release management </w:t>
      </w:r>
      <w:proofErr w:type="gramStart"/>
      <w:r w:rsidR="00E364A2" w:rsidRPr="007860B5">
        <w:rPr>
          <w:rFonts w:ascii="Times New Roman" w:hAnsi="Times New Roman" w:cs="Times New Roman"/>
          <w:bCs/>
          <w:sz w:val="24"/>
          <w:szCs w:val="24"/>
          <w:lang w:val="en-GB"/>
        </w:rPr>
        <w:t>processes</w:t>
      </w:r>
      <w:r w:rsidRPr="007860B5">
        <w:rPr>
          <w:rFonts w:ascii="Times New Roman" w:hAnsi="Times New Roman" w:cs="Times New Roman"/>
          <w:bCs/>
          <w:sz w:val="24"/>
          <w:szCs w:val="24"/>
          <w:lang w:val="en-GB"/>
        </w:rPr>
        <w:t>;</w:t>
      </w:r>
      <w:proofErr w:type="gramEnd"/>
    </w:p>
    <w:p w14:paraId="725B4A82" w14:textId="3B191ADC"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27.3.4. </w:t>
      </w:r>
      <w:r w:rsidR="00E364A2" w:rsidRPr="007860B5">
        <w:rPr>
          <w:rFonts w:ascii="Times New Roman" w:hAnsi="Times New Roman" w:cs="Times New Roman"/>
          <w:bCs/>
          <w:sz w:val="24"/>
          <w:szCs w:val="24"/>
          <w:lang w:val="en-GB"/>
        </w:rPr>
        <w:t xml:space="preserve">the process for planning, creating, testing and deploying the IT systems and infrastructure and contingency plans is approved by the </w:t>
      </w:r>
      <w:r w:rsidR="00E364A2" w:rsidRPr="003C3567">
        <w:rPr>
          <w:rFonts w:ascii="Times New Roman" w:hAnsi="Times New Roman" w:cs="Times New Roman"/>
          <w:bCs/>
          <w:sz w:val="24"/>
          <w:szCs w:val="24"/>
          <w:lang w:val="en-GB"/>
        </w:rPr>
        <w:t xml:space="preserve">bank’s </w:t>
      </w:r>
      <w:r w:rsidR="003C3567" w:rsidRPr="003C3567">
        <w:rPr>
          <w:rFonts w:ascii="Times New Roman" w:hAnsi="Times New Roman" w:cs="Times New Roman"/>
          <w:bCs/>
          <w:sz w:val="24"/>
          <w:szCs w:val="24"/>
          <w:lang w:val="en-GB"/>
        </w:rPr>
        <w:t>board</w:t>
      </w:r>
      <w:r w:rsidR="00E364A2" w:rsidRPr="003C3567">
        <w:rPr>
          <w:rFonts w:ascii="Times New Roman" w:hAnsi="Times New Roman" w:cs="Times New Roman"/>
          <w:bCs/>
          <w:sz w:val="24"/>
          <w:szCs w:val="24"/>
          <w:lang w:val="en-GB"/>
        </w:rPr>
        <w:t xml:space="preserve"> or</w:t>
      </w:r>
      <w:r w:rsidR="003C3567" w:rsidRPr="003C3567">
        <w:rPr>
          <w:rFonts w:ascii="Times New Roman" w:hAnsi="Times New Roman" w:cs="Times New Roman"/>
          <w:bCs/>
          <w:sz w:val="24"/>
          <w:szCs w:val="24"/>
          <w:lang w:val="en-GB"/>
        </w:rPr>
        <w:t xml:space="preserve"> the bank’s</w:t>
      </w:r>
      <w:r w:rsidR="00E364A2" w:rsidRPr="003C3567">
        <w:rPr>
          <w:rFonts w:ascii="Times New Roman" w:hAnsi="Times New Roman" w:cs="Times New Roman"/>
          <w:bCs/>
          <w:sz w:val="24"/>
          <w:szCs w:val="24"/>
          <w:lang w:val="en-GB"/>
        </w:rPr>
        <w:t xml:space="preserve"> </w:t>
      </w:r>
      <w:r w:rsidR="003C3567">
        <w:rPr>
          <w:rFonts w:ascii="Times New Roman" w:hAnsi="Times New Roman" w:cs="Times New Roman"/>
          <w:bCs/>
          <w:sz w:val="24"/>
          <w:szCs w:val="24"/>
          <w:lang w:val="en-GB"/>
        </w:rPr>
        <w:t xml:space="preserve">executive body </w:t>
      </w:r>
      <w:r w:rsidR="00E364A2" w:rsidRPr="007860B5">
        <w:rPr>
          <w:rFonts w:ascii="Times New Roman" w:hAnsi="Times New Roman" w:cs="Times New Roman"/>
          <w:bCs/>
          <w:sz w:val="24"/>
          <w:szCs w:val="24"/>
          <w:lang w:val="en-GB"/>
        </w:rPr>
        <w:t xml:space="preserve">and the </w:t>
      </w:r>
      <w:r w:rsidR="003C3567">
        <w:rPr>
          <w:rFonts w:ascii="Times New Roman" w:hAnsi="Times New Roman" w:cs="Times New Roman"/>
          <w:bCs/>
          <w:sz w:val="24"/>
          <w:szCs w:val="24"/>
          <w:lang w:val="en-GB"/>
        </w:rPr>
        <w:t>both the bank’s board</w:t>
      </w:r>
      <w:r w:rsidR="00E364A2" w:rsidRPr="007860B5">
        <w:rPr>
          <w:rFonts w:ascii="Times New Roman" w:hAnsi="Times New Roman" w:cs="Times New Roman"/>
          <w:bCs/>
          <w:sz w:val="24"/>
          <w:szCs w:val="24"/>
          <w:lang w:val="en-GB"/>
        </w:rPr>
        <w:t xml:space="preserve"> and </w:t>
      </w:r>
      <w:r w:rsidR="003C3567">
        <w:rPr>
          <w:rFonts w:ascii="Times New Roman" w:hAnsi="Times New Roman" w:cs="Times New Roman"/>
          <w:bCs/>
          <w:sz w:val="24"/>
          <w:szCs w:val="24"/>
          <w:lang w:val="en-GB"/>
        </w:rPr>
        <w:t>executive</w:t>
      </w:r>
      <w:r w:rsidR="00E364A2" w:rsidRPr="007860B5">
        <w:rPr>
          <w:rFonts w:ascii="Times New Roman" w:hAnsi="Times New Roman" w:cs="Times New Roman"/>
          <w:bCs/>
          <w:sz w:val="24"/>
          <w:szCs w:val="24"/>
          <w:lang w:val="en-GB"/>
        </w:rPr>
        <w:t xml:space="preserve"> </w:t>
      </w:r>
      <w:r w:rsidR="003C3567">
        <w:rPr>
          <w:rFonts w:ascii="Times New Roman" w:hAnsi="Times New Roman" w:cs="Times New Roman"/>
          <w:bCs/>
          <w:sz w:val="24"/>
          <w:szCs w:val="24"/>
          <w:lang w:val="en-GB"/>
        </w:rPr>
        <w:t>body</w:t>
      </w:r>
      <w:r w:rsidR="00E364A2" w:rsidRPr="007860B5">
        <w:rPr>
          <w:rFonts w:ascii="Times New Roman" w:hAnsi="Times New Roman" w:cs="Times New Roman"/>
          <w:bCs/>
          <w:sz w:val="24"/>
          <w:szCs w:val="24"/>
          <w:lang w:val="en-GB"/>
        </w:rPr>
        <w:t xml:space="preserve"> are periodically informed about the IT systems and infrastructure performance</w:t>
      </w:r>
      <w:r w:rsidRPr="007860B5">
        <w:rPr>
          <w:rFonts w:ascii="Times New Roman" w:hAnsi="Times New Roman" w:cs="Times New Roman"/>
          <w:bCs/>
          <w:sz w:val="24"/>
          <w:szCs w:val="24"/>
          <w:lang w:val="en-GB"/>
        </w:rPr>
        <w:t>.</w:t>
      </w:r>
    </w:p>
    <w:p w14:paraId="13900814" w14:textId="52711098" w:rsidR="00F47597" w:rsidRPr="007860B5" w:rsidRDefault="00E364A2" w:rsidP="00F47597">
      <w:pPr>
        <w:rPr>
          <w:rFonts w:ascii="Times New Roman" w:hAnsi="Times New Roman" w:cs="Times New Roman"/>
          <w:b/>
          <w:bCs/>
          <w:sz w:val="24"/>
          <w:szCs w:val="24"/>
          <w:lang w:val="en-GB"/>
        </w:rPr>
      </w:pPr>
      <w:bookmarkStart w:id="11" w:name="_Hlk193372104"/>
      <w:r w:rsidRPr="007860B5">
        <w:rPr>
          <w:rFonts w:ascii="Times New Roman" w:hAnsi="Times New Roman" w:cs="Times New Roman"/>
          <w:b/>
          <w:bCs/>
          <w:sz w:val="24"/>
          <w:szCs w:val="24"/>
          <w:lang w:val="en-GB"/>
        </w:rPr>
        <w:t>Section</w:t>
      </w:r>
      <w:r w:rsidR="00F47597" w:rsidRPr="007860B5">
        <w:rPr>
          <w:rFonts w:ascii="Times New Roman" w:hAnsi="Times New Roman" w:cs="Times New Roman"/>
          <w:b/>
          <w:bCs/>
          <w:sz w:val="24"/>
          <w:szCs w:val="24"/>
          <w:lang w:val="en-GB"/>
        </w:rPr>
        <w:t xml:space="preserve"> 3. </w:t>
      </w:r>
      <w:r w:rsidR="0045574A" w:rsidRPr="007860B5">
        <w:rPr>
          <w:rFonts w:ascii="Times New Roman" w:hAnsi="Times New Roman" w:cs="Times New Roman"/>
          <w:b/>
          <w:bCs/>
          <w:sz w:val="24"/>
          <w:szCs w:val="24"/>
          <w:lang w:val="en-GB"/>
        </w:rPr>
        <w:t>Calculation of net loss and gross loss</w:t>
      </w:r>
    </w:p>
    <w:bookmarkEnd w:id="11"/>
    <w:p w14:paraId="17929BCB" w14:textId="23A8627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lastRenderedPageBreak/>
        <w:t>28.</w:t>
      </w:r>
      <w:r w:rsidRPr="007860B5">
        <w:rPr>
          <w:rFonts w:ascii="Times New Roman" w:hAnsi="Times New Roman" w:cs="Times New Roman"/>
          <w:bCs/>
          <w:sz w:val="24"/>
          <w:szCs w:val="24"/>
          <w:lang w:val="en-GB"/>
        </w:rPr>
        <w:t> </w:t>
      </w:r>
      <w:r w:rsidR="0045574A" w:rsidRPr="007860B5">
        <w:rPr>
          <w:rFonts w:ascii="Times New Roman" w:hAnsi="Times New Roman" w:cs="Times New Roman"/>
          <w:bCs/>
          <w:sz w:val="24"/>
          <w:szCs w:val="24"/>
          <w:lang w:val="en-GB"/>
        </w:rPr>
        <w:t>For the purposes of paragraph 16, banks shall calculate for each operational risk event a net loss as follows:</w:t>
      </w:r>
    </w:p>
    <w:p w14:paraId="6E6F7AE2" w14:textId="4443285D" w:rsidR="00F47597" w:rsidRPr="007860B5" w:rsidRDefault="0045574A" w:rsidP="00F47597">
      <w:pPr>
        <w:rPr>
          <w:rFonts w:ascii="Times New Roman" w:hAnsi="Times New Roman" w:cs="Times New Roman"/>
          <w:bCs/>
          <w:color w:val="000000" w:themeColor="text1"/>
          <w:sz w:val="24"/>
          <w:szCs w:val="24"/>
          <w:lang w:val="en-GB"/>
        </w:rPr>
      </w:pPr>
      <w:r w:rsidRPr="007860B5">
        <w:rPr>
          <w:rFonts w:ascii="Times New Roman" w:hAnsi="Times New Roman" w:cs="Times New Roman"/>
          <w:bCs/>
          <w:i/>
          <w:iCs/>
          <w:color w:val="000000" w:themeColor="text1"/>
          <w:sz w:val="24"/>
          <w:szCs w:val="24"/>
          <w:lang w:val="en-GB"/>
        </w:rPr>
        <w:t>net loss = gross loss – recovery</w:t>
      </w:r>
    </w:p>
    <w:p w14:paraId="45CA1C86" w14:textId="0D4CC427" w:rsidR="00F47597" w:rsidRPr="007860B5" w:rsidRDefault="0045574A" w:rsidP="00F47597">
      <w:pPr>
        <w:rPr>
          <w:rFonts w:ascii="Times New Roman" w:hAnsi="Times New Roman" w:cs="Times New Roman"/>
          <w:bCs/>
          <w:color w:val="000000" w:themeColor="text1"/>
          <w:sz w:val="24"/>
          <w:szCs w:val="24"/>
          <w:lang w:val="en-GB"/>
        </w:rPr>
      </w:pPr>
      <w:r w:rsidRPr="007860B5">
        <w:rPr>
          <w:rFonts w:ascii="Times New Roman" w:hAnsi="Times New Roman" w:cs="Times New Roman"/>
          <w:bCs/>
          <w:color w:val="000000" w:themeColor="text1"/>
          <w:sz w:val="24"/>
          <w:szCs w:val="24"/>
          <w:lang w:val="en-GB"/>
        </w:rPr>
        <w:t>where</w:t>
      </w:r>
      <w:r w:rsidR="00F47597" w:rsidRPr="007860B5">
        <w:rPr>
          <w:rFonts w:ascii="Times New Roman" w:hAnsi="Times New Roman" w:cs="Times New Roman"/>
          <w:bCs/>
          <w:color w:val="000000" w:themeColor="text1"/>
          <w:sz w:val="24"/>
          <w:szCs w:val="24"/>
          <w:lang w:val="en-GB"/>
        </w:rPr>
        <w:t>:</w:t>
      </w:r>
    </w:p>
    <w:tbl>
      <w:tblPr>
        <w:tblW w:w="8789" w:type="dxa"/>
        <w:tblLayout w:type="fixed"/>
        <w:tblCellMar>
          <w:left w:w="0" w:type="dxa"/>
          <w:right w:w="0" w:type="dxa"/>
        </w:tblCellMar>
        <w:tblLook w:val="04A0" w:firstRow="1" w:lastRow="0" w:firstColumn="1" w:lastColumn="0" w:noHBand="0" w:noVBand="1"/>
      </w:tblPr>
      <w:tblGrid>
        <w:gridCol w:w="829"/>
        <w:gridCol w:w="7960"/>
      </w:tblGrid>
      <w:tr w:rsidR="0045574A" w:rsidRPr="007860B5" w14:paraId="28BAD1A3" w14:textId="77777777" w:rsidTr="003C3BA3">
        <w:tc>
          <w:tcPr>
            <w:tcW w:w="829" w:type="dxa"/>
            <w:hideMark/>
          </w:tcPr>
          <w:p w14:paraId="75B51439" w14:textId="31924B3E" w:rsidR="00F47597" w:rsidRPr="007860B5" w:rsidRDefault="0045574A" w:rsidP="00F47597">
            <w:pPr>
              <w:rPr>
                <w:rFonts w:ascii="Times New Roman" w:hAnsi="Times New Roman" w:cs="Times New Roman"/>
                <w:bCs/>
                <w:color w:val="000000" w:themeColor="text1"/>
                <w:sz w:val="24"/>
                <w:szCs w:val="24"/>
                <w:lang w:val="en-GB"/>
              </w:rPr>
            </w:pPr>
            <w:r w:rsidRPr="007860B5">
              <w:rPr>
                <w:rFonts w:ascii="Times New Roman" w:hAnsi="Times New Roman" w:cs="Times New Roman"/>
                <w:bCs/>
                <w:color w:val="000000" w:themeColor="text1"/>
                <w:sz w:val="24"/>
                <w:szCs w:val="24"/>
                <w:lang w:val="en-GB"/>
              </w:rPr>
              <w:t>gross</w:t>
            </w:r>
            <w:r w:rsidR="00F47597" w:rsidRPr="007860B5">
              <w:rPr>
                <w:rFonts w:ascii="Times New Roman" w:hAnsi="Times New Roman" w:cs="Times New Roman"/>
                <w:bCs/>
                <w:color w:val="000000" w:themeColor="text1"/>
                <w:sz w:val="24"/>
                <w:szCs w:val="24"/>
                <w:lang w:val="en-GB"/>
              </w:rPr>
              <w:t xml:space="preserve"> </w:t>
            </w:r>
            <w:r w:rsidRPr="007860B5">
              <w:rPr>
                <w:rFonts w:ascii="Times New Roman" w:hAnsi="Times New Roman" w:cs="Times New Roman"/>
                <w:bCs/>
                <w:color w:val="000000" w:themeColor="text1"/>
                <w:sz w:val="24"/>
                <w:szCs w:val="24"/>
                <w:lang w:val="en-GB"/>
              </w:rPr>
              <w:t>loss</w:t>
            </w:r>
          </w:p>
        </w:tc>
        <w:tc>
          <w:tcPr>
            <w:tcW w:w="7960" w:type="dxa"/>
            <w:hideMark/>
          </w:tcPr>
          <w:p w14:paraId="3ED5BCDA" w14:textId="4010A8C2" w:rsidR="00F47597" w:rsidRPr="007860B5" w:rsidRDefault="00F47597" w:rsidP="00F47597">
            <w:pPr>
              <w:rPr>
                <w:rFonts w:ascii="Times New Roman" w:hAnsi="Times New Roman" w:cs="Times New Roman"/>
                <w:bCs/>
                <w:color w:val="000000" w:themeColor="text1"/>
                <w:sz w:val="24"/>
                <w:szCs w:val="24"/>
                <w:lang w:val="en-GB"/>
              </w:rPr>
            </w:pPr>
            <w:r w:rsidRPr="007860B5">
              <w:rPr>
                <w:rFonts w:ascii="Times New Roman" w:hAnsi="Times New Roman" w:cs="Times New Roman"/>
                <w:bCs/>
                <w:color w:val="000000" w:themeColor="text1"/>
                <w:sz w:val="24"/>
                <w:szCs w:val="24"/>
                <w:lang w:val="en-GB"/>
              </w:rPr>
              <w:t xml:space="preserve">= </w:t>
            </w:r>
            <w:r w:rsidR="0045574A" w:rsidRPr="007860B5">
              <w:rPr>
                <w:rFonts w:ascii="Times New Roman" w:hAnsi="Times New Roman" w:cs="Times New Roman"/>
                <w:bCs/>
                <w:color w:val="000000" w:themeColor="text1"/>
                <w:sz w:val="24"/>
                <w:szCs w:val="24"/>
                <w:lang w:val="en-GB"/>
              </w:rPr>
              <w:t>a loss linked to an operational risk event before recoveries of any type</w:t>
            </w:r>
            <w:r w:rsidRPr="007860B5">
              <w:rPr>
                <w:rFonts w:ascii="Times New Roman" w:hAnsi="Times New Roman" w:cs="Times New Roman"/>
                <w:bCs/>
                <w:color w:val="000000" w:themeColor="text1"/>
                <w:sz w:val="24"/>
                <w:szCs w:val="24"/>
                <w:lang w:val="en-GB"/>
              </w:rPr>
              <w:t>;</w:t>
            </w:r>
          </w:p>
        </w:tc>
      </w:tr>
    </w:tbl>
    <w:p w14:paraId="220916E9" w14:textId="77777777" w:rsidR="00F47597" w:rsidRPr="007860B5" w:rsidRDefault="00F47597" w:rsidP="00F47597">
      <w:pPr>
        <w:rPr>
          <w:rFonts w:ascii="Times New Roman" w:hAnsi="Times New Roman" w:cs="Times New Roman"/>
          <w:bCs/>
          <w:vanish/>
          <w:sz w:val="24"/>
          <w:szCs w:val="24"/>
          <w:lang w:val="en-GB"/>
        </w:rPr>
      </w:pPr>
    </w:p>
    <w:tbl>
      <w:tblPr>
        <w:tblW w:w="5000" w:type="pct"/>
        <w:tblLayout w:type="fixed"/>
        <w:tblCellMar>
          <w:left w:w="0" w:type="dxa"/>
          <w:right w:w="0" w:type="dxa"/>
        </w:tblCellMar>
        <w:tblLook w:val="04A0" w:firstRow="1" w:lastRow="0" w:firstColumn="1" w:lastColumn="0" w:noHBand="0" w:noVBand="1"/>
      </w:tblPr>
      <w:tblGrid>
        <w:gridCol w:w="1100"/>
        <w:gridCol w:w="8255"/>
      </w:tblGrid>
      <w:tr w:rsidR="00F47597" w:rsidRPr="007860B5" w14:paraId="3D9A50FF" w14:textId="77777777" w:rsidTr="0045574A">
        <w:tc>
          <w:tcPr>
            <w:tcW w:w="1139" w:type="dxa"/>
            <w:hideMark/>
          </w:tcPr>
          <w:p w14:paraId="51C0A111" w14:textId="512886E2" w:rsidR="00F47597" w:rsidRPr="007860B5" w:rsidRDefault="0045574A"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recovery</w:t>
            </w:r>
          </w:p>
        </w:tc>
        <w:tc>
          <w:tcPr>
            <w:tcW w:w="8550" w:type="dxa"/>
            <w:hideMark/>
          </w:tcPr>
          <w:p w14:paraId="65EFDA65" w14:textId="3C83654C"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 xml:space="preserve">= </w:t>
            </w:r>
            <w:r w:rsidR="0045574A" w:rsidRPr="007860B5">
              <w:rPr>
                <w:rFonts w:ascii="Times New Roman" w:hAnsi="Times New Roman" w:cs="Times New Roman"/>
                <w:bCs/>
                <w:sz w:val="24"/>
                <w:szCs w:val="24"/>
                <w:lang w:val="en-GB"/>
              </w:rPr>
              <w:t>one or multiple independent occurrences, related to the original operational risk event, separated in time, in which funds or inflows of economic benefits are received from a third party</w:t>
            </w:r>
            <w:r w:rsidRPr="007860B5">
              <w:rPr>
                <w:rFonts w:ascii="Times New Roman" w:hAnsi="Times New Roman" w:cs="Times New Roman"/>
                <w:bCs/>
                <w:sz w:val="24"/>
                <w:szCs w:val="24"/>
                <w:lang w:val="en-GB"/>
              </w:rPr>
              <w:t>.</w:t>
            </w:r>
          </w:p>
        </w:tc>
      </w:tr>
    </w:tbl>
    <w:p w14:paraId="64222D96" w14:textId="30BC8DE8"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29.</w:t>
      </w:r>
      <w:r w:rsidRPr="007860B5">
        <w:rPr>
          <w:rFonts w:ascii="Times New Roman" w:hAnsi="Times New Roman" w:cs="Times New Roman"/>
          <w:bCs/>
          <w:sz w:val="24"/>
          <w:szCs w:val="24"/>
          <w:lang w:val="en-GB"/>
        </w:rPr>
        <w:t xml:space="preserve"> </w:t>
      </w:r>
      <w:r w:rsidR="0045574A" w:rsidRPr="007860B5">
        <w:rPr>
          <w:rFonts w:ascii="Times New Roman" w:hAnsi="Times New Roman" w:cs="Times New Roman"/>
          <w:bCs/>
          <w:sz w:val="24"/>
          <w:szCs w:val="24"/>
          <w:lang w:val="en-GB"/>
        </w:rPr>
        <w:t>Banks shall maintain on an ongoing basis an updated calculation of the net loss for each specific operational risk event. To that end, banks shall update the net loss calculation based on the observed or estimated variations of the gross loss and the recovery for each of the last 10 financial years. Where losses, linked to the same operational risk event, are observed during multiple financial years within that 10-year time window, the institution shall calculate and maintain updated:</w:t>
      </w:r>
    </w:p>
    <w:p w14:paraId="0E3BC35D" w14:textId="3515ECAB"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29.1. </w:t>
      </w:r>
      <w:r w:rsidR="00555D1F" w:rsidRPr="007860B5">
        <w:rPr>
          <w:rFonts w:ascii="Times New Roman" w:hAnsi="Times New Roman" w:cs="Times New Roman"/>
          <w:bCs/>
          <w:sz w:val="24"/>
          <w:szCs w:val="24"/>
          <w:lang w:val="en-GB"/>
        </w:rPr>
        <w:t xml:space="preserve">the net loss, gross loss and recovery for each of the financial years of the 10-year time window where that net loss, gross loss and recovery were </w:t>
      </w:r>
      <w:proofErr w:type="gramStart"/>
      <w:r w:rsidR="00555D1F" w:rsidRPr="007860B5">
        <w:rPr>
          <w:rFonts w:ascii="Times New Roman" w:hAnsi="Times New Roman" w:cs="Times New Roman"/>
          <w:bCs/>
          <w:sz w:val="24"/>
          <w:szCs w:val="24"/>
          <w:lang w:val="en-GB"/>
        </w:rPr>
        <w:t>recorded</w:t>
      </w:r>
      <w:r w:rsidRPr="007860B5">
        <w:rPr>
          <w:rFonts w:ascii="Times New Roman" w:hAnsi="Times New Roman" w:cs="Times New Roman"/>
          <w:bCs/>
          <w:sz w:val="24"/>
          <w:szCs w:val="24"/>
          <w:lang w:val="en-GB"/>
        </w:rPr>
        <w:t>;</w:t>
      </w:r>
      <w:proofErr w:type="gramEnd"/>
    </w:p>
    <w:p w14:paraId="4B97A136" w14:textId="1B3A345F"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29.2. </w:t>
      </w:r>
      <w:r w:rsidR="00555D1F" w:rsidRPr="007860B5">
        <w:rPr>
          <w:rFonts w:ascii="Times New Roman" w:hAnsi="Times New Roman" w:cs="Times New Roman"/>
          <w:bCs/>
          <w:sz w:val="24"/>
          <w:szCs w:val="24"/>
          <w:lang w:val="en-GB"/>
        </w:rPr>
        <w:t>the aggregated net loss, aggregated gross loss and aggregated recovery of all relevant financial years of the 10-year time window</w:t>
      </w:r>
      <w:r w:rsidRPr="007860B5">
        <w:rPr>
          <w:rFonts w:ascii="Times New Roman" w:hAnsi="Times New Roman" w:cs="Times New Roman"/>
          <w:bCs/>
          <w:sz w:val="24"/>
          <w:szCs w:val="24"/>
          <w:lang w:val="en-GB"/>
        </w:rPr>
        <w:t>.</w:t>
      </w:r>
    </w:p>
    <w:p w14:paraId="60E0259E" w14:textId="2F03F29F"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30.</w:t>
      </w:r>
      <w:r w:rsidR="00DF2248" w:rsidRPr="007860B5">
        <w:rPr>
          <w:rFonts w:ascii="Times New Roman" w:hAnsi="Times New Roman" w:cs="Times New Roman"/>
          <w:bCs/>
          <w:sz w:val="24"/>
          <w:szCs w:val="24"/>
          <w:lang w:val="en-GB"/>
        </w:rPr>
        <w:t xml:space="preserve"> </w:t>
      </w:r>
      <w:r w:rsidR="00555D1F" w:rsidRPr="007860B5">
        <w:rPr>
          <w:rFonts w:ascii="Times New Roman" w:hAnsi="Times New Roman" w:cs="Times New Roman"/>
          <w:bCs/>
          <w:sz w:val="24"/>
          <w:szCs w:val="24"/>
          <w:lang w:val="en-GB"/>
        </w:rPr>
        <w:t>For the purposes of paragraph 28, the following items shall be included in the gross loss computation</w:t>
      </w:r>
      <w:r w:rsidRPr="007860B5">
        <w:rPr>
          <w:rFonts w:ascii="Times New Roman" w:hAnsi="Times New Roman" w:cs="Times New Roman"/>
          <w:bCs/>
          <w:sz w:val="24"/>
          <w:szCs w:val="24"/>
          <w:lang w:val="en-GB"/>
        </w:rPr>
        <w:t>:</w:t>
      </w:r>
    </w:p>
    <w:p w14:paraId="12100B0C" w14:textId="6F42D50E"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30.1. </w:t>
      </w:r>
      <w:r w:rsidR="00555D1F" w:rsidRPr="007860B5">
        <w:rPr>
          <w:rFonts w:ascii="Times New Roman" w:hAnsi="Times New Roman" w:cs="Times New Roman"/>
          <w:bCs/>
          <w:sz w:val="24"/>
          <w:szCs w:val="24"/>
          <w:lang w:val="en-GB"/>
        </w:rPr>
        <w:t>direct charges, such as impairments, settlements, amounts paid to make good the damage, penalties and interest in arrears and legal fees, to the institution’s profit and loss accounts and write-downs due to the operational risk event, including</w:t>
      </w:r>
      <w:r w:rsidRPr="007860B5">
        <w:rPr>
          <w:rFonts w:ascii="Times New Roman" w:hAnsi="Times New Roman" w:cs="Times New Roman"/>
          <w:bCs/>
          <w:sz w:val="24"/>
          <w:szCs w:val="24"/>
          <w:lang w:val="en-GB"/>
        </w:rPr>
        <w:t>:</w:t>
      </w:r>
    </w:p>
    <w:p w14:paraId="0C848D60" w14:textId="65CC9E0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30.1.1. </w:t>
      </w:r>
      <w:r w:rsidR="00555D1F" w:rsidRPr="007860B5">
        <w:rPr>
          <w:rFonts w:ascii="Times New Roman" w:hAnsi="Times New Roman" w:cs="Times New Roman"/>
          <w:bCs/>
          <w:sz w:val="24"/>
          <w:szCs w:val="24"/>
          <w:lang w:val="en-GB"/>
        </w:rPr>
        <w:t xml:space="preserve">where the operational risk event relates to market risk, the costs to unwind market positions in the recorded loss amount of the operational risk </w:t>
      </w:r>
      <w:proofErr w:type="gramStart"/>
      <w:r w:rsidR="00555D1F" w:rsidRPr="007860B5">
        <w:rPr>
          <w:rFonts w:ascii="Times New Roman" w:hAnsi="Times New Roman" w:cs="Times New Roman"/>
          <w:bCs/>
          <w:sz w:val="24"/>
          <w:szCs w:val="24"/>
          <w:lang w:val="en-GB"/>
        </w:rPr>
        <w:t>items;</w:t>
      </w:r>
      <w:proofErr w:type="gramEnd"/>
    </w:p>
    <w:p w14:paraId="54305053" w14:textId="336179A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30.1.2. </w:t>
      </w:r>
      <w:r w:rsidR="00DF2248" w:rsidRPr="007860B5">
        <w:rPr>
          <w:rFonts w:ascii="Times New Roman" w:hAnsi="Times New Roman" w:cs="Times New Roman"/>
          <w:bCs/>
          <w:sz w:val="24"/>
          <w:szCs w:val="24"/>
          <w:lang w:val="en-GB"/>
        </w:rPr>
        <w:t xml:space="preserve">where payments relate to failures or inadequate processes of the bank, penalties, interest charges, late-payment charges, legal fees and, with the exclusion of the tax amount originally due, tax, unless that amount is already included under sub-paragraph </w:t>
      </w:r>
      <w:proofErr w:type="gramStart"/>
      <w:r w:rsidR="00DF2248" w:rsidRPr="007860B5">
        <w:rPr>
          <w:rFonts w:ascii="Times New Roman" w:hAnsi="Times New Roman" w:cs="Times New Roman"/>
          <w:bCs/>
          <w:sz w:val="24"/>
          <w:szCs w:val="24"/>
          <w:lang w:val="en-GB"/>
        </w:rPr>
        <w:t>30.5;</w:t>
      </w:r>
      <w:proofErr w:type="gramEnd"/>
    </w:p>
    <w:p w14:paraId="5C865FAF" w14:textId="00931677"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30.2. </w:t>
      </w:r>
      <w:r w:rsidR="00DF2248" w:rsidRPr="007860B5">
        <w:rPr>
          <w:rFonts w:ascii="Times New Roman" w:hAnsi="Times New Roman" w:cs="Times New Roman"/>
          <w:bCs/>
          <w:sz w:val="24"/>
          <w:szCs w:val="24"/>
          <w:lang w:val="en-GB"/>
        </w:rPr>
        <w:t xml:space="preserve">costs incurred </w:t>
      </w:r>
      <w:proofErr w:type="gramStart"/>
      <w:r w:rsidR="00DF2248" w:rsidRPr="007860B5">
        <w:rPr>
          <w:rFonts w:ascii="Times New Roman" w:hAnsi="Times New Roman" w:cs="Times New Roman"/>
          <w:bCs/>
          <w:sz w:val="24"/>
          <w:szCs w:val="24"/>
          <w:lang w:val="en-GB"/>
        </w:rPr>
        <w:t>as a consequence of</w:t>
      </w:r>
      <w:proofErr w:type="gramEnd"/>
      <w:r w:rsidR="00DF2248" w:rsidRPr="007860B5">
        <w:rPr>
          <w:rFonts w:ascii="Times New Roman" w:hAnsi="Times New Roman" w:cs="Times New Roman"/>
          <w:bCs/>
          <w:sz w:val="24"/>
          <w:szCs w:val="24"/>
          <w:lang w:val="en-GB"/>
        </w:rPr>
        <w:t xml:space="preserve"> the operational risk event, including external expenses with a direct link to the operational risk event and costs of repair or replacement, incurred to restore the position that was prevailing before the operational risk event </w:t>
      </w:r>
      <w:proofErr w:type="gramStart"/>
      <w:r w:rsidR="00DF2248" w:rsidRPr="007860B5">
        <w:rPr>
          <w:rFonts w:ascii="Times New Roman" w:hAnsi="Times New Roman" w:cs="Times New Roman"/>
          <w:bCs/>
          <w:sz w:val="24"/>
          <w:szCs w:val="24"/>
          <w:lang w:val="en-GB"/>
        </w:rPr>
        <w:t>occurred</w:t>
      </w:r>
      <w:r w:rsidRPr="007860B5">
        <w:rPr>
          <w:rFonts w:ascii="Times New Roman" w:hAnsi="Times New Roman" w:cs="Times New Roman"/>
          <w:bCs/>
          <w:sz w:val="24"/>
          <w:szCs w:val="24"/>
          <w:lang w:val="en-GB"/>
        </w:rPr>
        <w:t>;</w:t>
      </w:r>
      <w:proofErr w:type="gramEnd"/>
    </w:p>
    <w:p w14:paraId="2A11AD1E" w14:textId="10C8632B"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30.3. </w:t>
      </w:r>
      <w:r w:rsidR="00DF2248" w:rsidRPr="007860B5">
        <w:rPr>
          <w:rFonts w:ascii="Times New Roman" w:hAnsi="Times New Roman" w:cs="Times New Roman"/>
          <w:bCs/>
          <w:sz w:val="24"/>
          <w:szCs w:val="24"/>
          <w:lang w:val="en-GB"/>
        </w:rPr>
        <w:t xml:space="preserve">provisions or reserves accounted for in the profit and loss accounts against the potential operational loss impact, including those from misconduct </w:t>
      </w:r>
      <w:proofErr w:type="gramStart"/>
      <w:r w:rsidR="00DF2248" w:rsidRPr="007860B5">
        <w:rPr>
          <w:rFonts w:ascii="Times New Roman" w:hAnsi="Times New Roman" w:cs="Times New Roman"/>
          <w:bCs/>
          <w:sz w:val="24"/>
          <w:szCs w:val="24"/>
          <w:lang w:val="en-GB"/>
        </w:rPr>
        <w:t>events</w:t>
      </w:r>
      <w:r w:rsidRPr="007860B5">
        <w:rPr>
          <w:rFonts w:ascii="Times New Roman" w:hAnsi="Times New Roman" w:cs="Times New Roman"/>
          <w:bCs/>
          <w:sz w:val="24"/>
          <w:szCs w:val="24"/>
          <w:lang w:val="en-GB"/>
        </w:rPr>
        <w:t>;</w:t>
      </w:r>
      <w:proofErr w:type="gramEnd"/>
    </w:p>
    <w:p w14:paraId="032B2AFF" w14:textId="265AA224"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30.4. </w:t>
      </w:r>
      <w:r w:rsidR="00DF2248" w:rsidRPr="007860B5">
        <w:rPr>
          <w:rFonts w:ascii="Times New Roman" w:hAnsi="Times New Roman" w:cs="Times New Roman"/>
          <w:bCs/>
          <w:sz w:val="24"/>
          <w:szCs w:val="24"/>
          <w:lang w:val="en-GB"/>
        </w:rPr>
        <w:t>losses stemming from operational risk events with a definitive financial impact which are temporarily booked in transitory or suspense accounts and are not yet reflected in the profit and loss accounts (“pending losses”</w:t>
      </w:r>
      <w:proofErr w:type="gramStart"/>
      <w:r w:rsidR="00DF2248" w:rsidRPr="007860B5">
        <w:rPr>
          <w:rFonts w:ascii="Times New Roman" w:hAnsi="Times New Roman" w:cs="Times New Roman"/>
          <w:bCs/>
          <w:sz w:val="24"/>
          <w:szCs w:val="24"/>
          <w:lang w:val="en-GB"/>
        </w:rPr>
        <w:t>)</w:t>
      </w:r>
      <w:r w:rsidRPr="007860B5">
        <w:rPr>
          <w:rFonts w:ascii="Times New Roman" w:hAnsi="Times New Roman" w:cs="Times New Roman"/>
          <w:bCs/>
          <w:sz w:val="24"/>
          <w:szCs w:val="24"/>
          <w:lang w:val="en-GB"/>
        </w:rPr>
        <w:t>;</w:t>
      </w:r>
      <w:proofErr w:type="gramEnd"/>
    </w:p>
    <w:p w14:paraId="2A1D3CF9" w14:textId="68C123B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30.5. </w:t>
      </w:r>
      <w:r w:rsidR="00DF2248" w:rsidRPr="007860B5">
        <w:rPr>
          <w:rFonts w:ascii="Times New Roman" w:hAnsi="Times New Roman" w:cs="Times New Roman"/>
          <w:bCs/>
          <w:sz w:val="24"/>
          <w:szCs w:val="24"/>
          <w:lang w:val="en-GB"/>
        </w:rPr>
        <w:t xml:space="preserve">negative economic impacts booked in a financial </w:t>
      </w:r>
      <w:proofErr w:type="gramStart"/>
      <w:r w:rsidR="00DF2248" w:rsidRPr="007860B5">
        <w:rPr>
          <w:rFonts w:ascii="Times New Roman" w:hAnsi="Times New Roman" w:cs="Times New Roman"/>
          <w:bCs/>
          <w:sz w:val="24"/>
          <w:szCs w:val="24"/>
          <w:lang w:val="en-GB"/>
        </w:rPr>
        <w:t>year</w:t>
      </w:r>
      <w:proofErr w:type="gramEnd"/>
      <w:r w:rsidR="00DF2248" w:rsidRPr="007860B5">
        <w:rPr>
          <w:rFonts w:ascii="Times New Roman" w:hAnsi="Times New Roman" w:cs="Times New Roman"/>
          <w:bCs/>
          <w:sz w:val="24"/>
          <w:szCs w:val="24"/>
          <w:lang w:val="en-GB"/>
        </w:rPr>
        <w:t xml:space="preserve"> and which are due to operational risk events impacting the cash flows or financial statements of previous financial years (“timing losses”)</w:t>
      </w:r>
      <w:r w:rsidRPr="007860B5">
        <w:rPr>
          <w:rFonts w:ascii="Times New Roman" w:hAnsi="Times New Roman" w:cs="Times New Roman"/>
          <w:bCs/>
          <w:sz w:val="24"/>
          <w:szCs w:val="24"/>
          <w:lang w:val="en-GB"/>
        </w:rPr>
        <w:t>.</w:t>
      </w:r>
    </w:p>
    <w:p w14:paraId="159EADD0" w14:textId="4F2B04F7" w:rsidR="00EC1509"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lastRenderedPageBreak/>
        <w:t>31.</w:t>
      </w:r>
      <w:r w:rsidRPr="007860B5">
        <w:rPr>
          <w:rFonts w:ascii="Times New Roman" w:hAnsi="Times New Roman" w:cs="Times New Roman"/>
          <w:bCs/>
          <w:sz w:val="24"/>
          <w:szCs w:val="24"/>
          <w:lang w:val="en-GB"/>
        </w:rPr>
        <w:t xml:space="preserve"> </w:t>
      </w:r>
      <w:r w:rsidR="00EC1509" w:rsidRPr="007860B5">
        <w:rPr>
          <w:rFonts w:ascii="Times New Roman" w:hAnsi="Times New Roman" w:cs="Times New Roman"/>
          <w:bCs/>
          <w:sz w:val="24"/>
          <w:szCs w:val="24"/>
          <w:lang w:val="en-GB"/>
        </w:rPr>
        <w:t xml:space="preserve">For the purposes of the sub-paragraph, 30.4, material pending losses shall be included in the loss data set within </w:t>
      </w:r>
      <w:proofErr w:type="gramStart"/>
      <w:r w:rsidR="00EC1509" w:rsidRPr="007860B5">
        <w:rPr>
          <w:rFonts w:ascii="Times New Roman" w:hAnsi="Times New Roman" w:cs="Times New Roman"/>
          <w:bCs/>
          <w:sz w:val="24"/>
          <w:szCs w:val="24"/>
          <w:lang w:val="en-GB"/>
        </w:rPr>
        <w:t>a time period</w:t>
      </w:r>
      <w:proofErr w:type="gramEnd"/>
      <w:r w:rsidR="00EC1509" w:rsidRPr="007860B5">
        <w:rPr>
          <w:rFonts w:ascii="Times New Roman" w:hAnsi="Times New Roman" w:cs="Times New Roman"/>
          <w:bCs/>
          <w:sz w:val="24"/>
          <w:szCs w:val="24"/>
          <w:lang w:val="en-GB"/>
        </w:rPr>
        <w:t xml:space="preserve"> commensurate with the size and age of the pending item.</w:t>
      </w:r>
    </w:p>
    <w:p w14:paraId="4C2F4409" w14:textId="073496CE" w:rsidR="00EC1509"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32.</w:t>
      </w:r>
      <w:r w:rsidRPr="007860B5">
        <w:rPr>
          <w:rFonts w:ascii="Times New Roman" w:hAnsi="Times New Roman" w:cs="Times New Roman"/>
          <w:bCs/>
          <w:sz w:val="24"/>
          <w:szCs w:val="24"/>
          <w:lang w:val="en-GB"/>
        </w:rPr>
        <w:t xml:space="preserve"> </w:t>
      </w:r>
      <w:r w:rsidR="00EC1509" w:rsidRPr="007860B5">
        <w:rPr>
          <w:rFonts w:ascii="Times New Roman" w:hAnsi="Times New Roman" w:cs="Times New Roman"/>
          <w:bCs/>
          <w:sz w:val="24"/>
          <w:szCs w:val="24"/>
          <w:lang w:val="en-GB"/>
        </w:rPr>
        <w:t>For the purposes of the sub-paragraph 30.5, the bank shall include in the loss data set material timing losses where those losses are due to operational risk events that span more than one financial year. Banks shall include in the recorded loss amount of the operational risk item of a </w:t>
      </w:r>
      <w:proofErr w:type="gramStart"/>
      <w:r w:rsidR="00EC1509" w:rsidRPr="007860B5">
        <w:rPr>
          <w:rFonts w:ascii="Times New Roman" w:hAnsi="Times New Roman" w:cs="Times New Roman"/>
          <w:bCs/>
          <w:sz w:val="24"/>
          <w:szCs w:val="24"/>
          <w:lang w:val="en-GB"/>
        </w:rPr>
        <w:t>financial year losses</w:t>
      </w:r>
      <w:proofErr w:type="gramEnd"/>
      <w:r w:rsidR="00EC1509" w:rsidRPr="007860B5">
        <w:rPr>
          <w:rFonts w:ascii="Times New Roman" w:hAnsi="Times New Roman" w:cs="Times New Roman"/>
          <w:bCs/>
          <w:sz w:val="24"/>
          <w:szCs w:val="24"/>
          <w:lang w:val="en-GB"/>
        </w:rPr>
        <w:t xml:space="preserve"> that are due to the correction of booking errors that occurred in any previous financial year, even where those losses do not directly affect third parties. Where there are material timing losses and the operational risk event affects directly third parties, including customers, providers and employees of the bank, the bank shall also include the official restatement of previously issued financial reports.</w:t>
      </w:r>
    </w:p>
    <w:p w14:paraId="51346574" w14:textId="4EDDD06E"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33.</w:t>
      </w:r>
      <w:r w:rsidRPr="007860B5">
        <w:rPr>
          <w:rFonts w:ascii="Times New Roman" w:hAnsi="Times New Roman" w:cs="Times New Roman"/>
          <w:bCs/>
          <w:sz w:val="24"/>
          <w:szCs w:val="24"/>
          <w:lang w:val="en-GB"/>
        </w:rPr>
        <w:t> </w:t>
      </w:r>
      <w:r w:rsidR="00EC1509" w:rsidRPr="007860B5">
        <w:rPr>
          <w:rFonts w:ascii="Times New Roman" w:hAnsi="Times New Roman" w:cs="Times New Roman"/>
          <w:bCs/>
          <w:sz w:val="24"/>
          <w:szCs w:val="24"/>
          <w:lang w:val="en-GB"/>
        </w:rPr>
        <w:t>For the purposes of paragraph 28, the following items shall be excluded from the gross loss computation:</w:t>
      </w:r>
    </w:p>
    <w:p w14:paraId="6224EFD3" w14:textId="0A600193"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33.1. </w:t>
      </w:r>
      <w:r w:rsidR="00256845" w:rsidRPr="007860B5">
        <w:rPr>
          <w:rFonts w:ascii="Times New Roman" w:hAnsi="Times New Roman" w:cs="Times New Roman"/>
          <w:bCs/>
          <w:sz w:val="24"/>
          <w:szCs w:val="24"/>
          <w:lang w:val="en-GB"/>
        </w:rPr>
        <w:t xml:space="preserve">costs of general maintenance of contracts on property, plant or </w:t>
      </w:r>
      <w:proofErr w:type="gramStart"/>
      <w:r w:rsidR="00256845" w:rsidRPr="007860B5">
        <w:rPr>
          <w:rFonts w:ascii="Times New Roman" w:hAnsi="Times New Roman" w:cs="Times New Roman"/>
          <w:bCs/>
          <w:sz w:val="24"/>
          <w:szCs w:val="24"/>
          <w:lang w:val="en-GB"/>
        </w:rPr>
        <w:t>equipment</w:t>
      </w:r>
      <w:r w:rsidRPr="007860B5">
        <w:rPr>
          <w:rFonts w:ascii="Times New Roman" w:hAnsi="Times New Roman" w:cs="Times New Roman"/>
          <w:bCs/>
          <w:sz w:val="24"/>
          <w:szCs w:val="24"/>
          <w:lang w:val="en-GB"/>
        </w:rPr>
        <w:t>;</w:t>
      </w:r>
      <w:proofErr w:type="gramEnd"/>
    </w:p>
    <w:p w14:paraId="3E1165F1" w14:textId="7AA8F282"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33.2. </w:t>
      </w:r>
      <w:r w:rsidR="00504F39" w:rsidRPr="007860B5">
        <w:rPr>
          <w:rFonts w:ascii="Times New Roman" w:hAnsi="Times New Roman" w:cs="Times New Roman"/>
          <w:bCs/>
          <w:sz w:val="24"/>
          <w:szCs w:val="24"/>
          <w:lang w:val="en-GB"/>
        </w:rPr>
        <w:t xml:space="preserve">internal or external expenditure to enhance the business after the operational risk losses, including upgrades, improvements, risk assessment initiatives and </w:t>
      </w:r>
      <w:proofErr w:type="gramStart"/>
      <w:r w:rsidR="00504F39" w:rsidRPr="007860B5">
        <w:rPr>
          <w:rFonts w:ascii="Times New Roman" w:hAnsi="Times New Roman" w:cs="Times New Roman"/>
          <w:bCs/>
          <w:sz w:val="24"/>
          <w:szCs w:val="24"/>
          <w:lang w:val="en-GB"/>
        </w:rPr>
        <w:t>enhancements;</w:t>
      </w:r>
      <w:proofErr w:type="gramEnd"/>
    </w:p>
    <w:p w14:paraId="791D5DBC" w14:textId="34E1AE37"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33.3. </w:t>
      </w:r>
      <w:r w:rsidR="00504F39" w:rsidRPr="007860B5">
        <w:rPr>
          <w:rFonts w:ascii="Times New Roman" w:hAnsi="Times New Roman" w:cs="Times New Roman"/>
          <w:bCs/>
          <w:sz w:val="24"/>
          <w:szCs w:val="24"/>
          <w:lang w:val="en-GB"/>
        </w:rPr>
        <w:t>insurance premiums.</w:t>
      </w:r>
    </w:p>
    <w:p w14:paraId="4575BCBE" w14:textId="151FF7DB"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34.</w:t>
      </w:r>
      <w:r w:rsidR="00504F39" w:rsidRPr="007860B5">
        <w:rPr>
          <w:rFonts w:ascii="Times New Roman" w:hAnsi="Times New Roman" w:cs="Times New Roman"/>
          <w:bCs/>
          <w:sz w:val="24"/>
          <w:szCs w:val="24"/>
          <w:lang w:val="en-GB"/>
        </w:rPr>
        <w:t xml:space="preserve"> For the purposes of paragraph 28, recoveries shall be used to reduce gross losses only where the bank has received payment. Receivables shall not be considered as recoveries.</w:t>
      </w:r>
    </w:p>
    <w:p w14:paraId="6F7CC34B" w14:textId="1B7C5B1E" w:rsidR="00F47597"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35.</w:t>
      </w:r>
      <w:r w:rsidRPr="007860B5">
        <w:rPr>
          <w:rFonts w:ascii="Times New Roman" w:hAnsi="Times New Roman" w:cs="Times New Roman"/>
          <w:bCs/>
          <w:sz w:val="24"/>
          <w:szCs w:val="24"/>
          <w:lang w:val="en-GB"/>
        </w:rPr>
        <w:t xml:space="preserve"> </w:t>
      </w:r>
      <w:r w:rsidR="00504F39" w:rsidRPr="007860B5">
        <w:rPr>
          <w:rFonts w:ascii="Times New Roman" w:hAnsi="Times New Roman" w:cs="Times New Roman"/>
          <w:bCs/>
          <w:sz w:val="24"/>
          <w:szCs w:val="24"/>
          <w:lang w:val="en-GB"/>
        </w:rPr>
        <w:t>Upon request from the NBM, the bank shall provide all documentation needed to verify the payments received and factored in the calculation of the net loss of an operational risk event.</w:t>
      </w:r>
    </w:p>
    <w:p w14:paraId="0E713673" w14:textId="0D5661A7" w:rsidR="00F47597" w:rsidRPr="007860B5" w:rsidRDefault="00504F39" w:rsidP="00F47597">
      <w:pPr>
        <w:rPr>
          <w:rFonts w:ascii="Times New Roman" w:hAnsi="Times New Roman" w:cs="Times New Roman"/>
          <w:b/>
          <w:bCs/>
          <w:sz w:val="24"/>
          <w:szCs w:val="24"/>
          <w:lang w:val="en-GB"/>
        </w:rPr>
      </w:pPr>
      <w:bookmarkStart w:id="12" w:name="_Hlk193372134"/>
      <w:r w:rsidRPr="007860B5">
        <w:rPr>
          <w:rFonts w:ascii="Times New Roman" w:hAnsi="Times New Roman" w:cs="Times New Roman"/>
          <w:b/>
          <w:bCs/>
          <w:sz w:val="24"/>
          <w:szCs w:val="24"/>
          <w:lang w:val="en-GB"/>
        </w:rPr>
        <w:t>Section</w:t>
      </w:r>
      <w:r w:rsidR="00F47597" w:rsidRPr="007860B5">
        <w:rPr>
          <w:rFonts w:ascii="Times New Roman" w:hAnsi="Times New Roman" w:cs="Times New Roman"/>
          <w:b/>
          <w:bCs/>
          <w:sz w:val="24"/>
          <w:szCs w:val="24"/>
          <w:lang w:val="en-GB"/>
        </w:rPr>
        <w:t xml:space="preserve"> 4. </w:t>
      </w:r>
      <w:r w:rsidRPr="007860B5">
        <w:rPr>
          <w:rFonts w:ascii="Times New Roman" w:hAnsi="Times New Roman" w:cs="Times New Roman"/>
          <w:b/>
          <w:bCs/>
          <w:sz w:val="24"/>
          <w:szCs w:val="24"/>
          <w:lang w:val="en-GB"/>
        </w:rPr>
        <w:t>Loss data thresholds</w:t>
      </w:r>
    </w:p>
    <w:bookmarkEnd w:id="12"/>
    <w:p w14:paraId="31673A5F" w14:textId="48FCFE19" w:rsidR="00504F39" w:rsidRPr="007860B5" w:rsidRDefault="00F47597"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36.</w:t>
      </w:r>
      <w:r w:rsidRPr="007860B5">
        <w:rPr>
          <w:rFonts w:ascii="Times New Roman" w:hAnsi="Times New Roman" w:cs="Times New Roman"/>
          <w:bCs/>
          <w:sz w:val="24"/>
          <w:szCs w:val="24"/>
          <w:lang w:val="en-GB"/>
        </w:rPr>
        <w:t> </w:t>
      </w:r>
      <w:r w:rsidR="00504F39" w:rsidRPr="007860B5">
        <w:rPr>
          <w:rFonts w:ascii="Times New Roman" w:hAnsi="Times New Roman" w:cs="Times New Roman"/>
          <w:bCs/>
          <w:sz w:val="24"/>
          <w:szCs w:val="24"/>
          <w:lang w:val="en-GB"/>
        </w:rPr>
        <w:t xml:space="preserve">To calculate the annual operational risk loss referred to in paragraph 16, banks shall </w:t>
      </w:r>
      <w:proofErr w:type="gramStart"/>
      <w:r w:rsidR="00504F39" w:rsidRPr="007860B5">
        <w:rPr>
          <w:rFonts w:ascii="Times New Roman" w:hAnsi="Times New Roman" w:cs="Times New Roman"/>
          <w:bCs/>
          <w:sz w:val="24"/>
          <w:szCs w:val="24"/>
          <w:lang w:val="en-GB"/>
        </w:rPr>
        <w:t>take into account</w:t>
      </w:r>
      <w:proofErr w:type="gramEnd"/>
      <w:r w:rsidR="00504F39" w:rsidRPr="007860B5">
        <w:rPr>
          <w:rFonts w:ascii="Times New Roman" w:hAnsi="Times New Roman" w:cs="Times New Roman"/>
          <w:bCs/>
          <w:sz w:val="24"/>
          <w:szCs w:val="24"/>
          <w:lang w:val="en-GB"/>
        </w:rPr>
        <w:t xml:space="preserve"> from the loss data set operational risk events with a net loss, calculated in accordance with Section 3, that are equal to or exceed </w:t>
      </w:r>
      <w:r w:rsidR="00052541" w:rsidRPr="007860B5">
        <w:rPr>
          <w:rFonts w:ascii="Times New Roman" w:hAnsi="Times New Roman" w:cs="Times New Roman"/>
          <w:bCs/>
          <w:sz w:val="24"/>
          <w:szCs w:val="24"/>
          <w:lang w:val="en-GB"/>
        </w:rPr>
        <w:t>MDL</w:t>
      </w:r>
      <w:r w:rsidR="00504F39" w:rsidRPr="007860B5">
        <w:rPr>
          <w:rFonts w:ascii="Times New Roman" w:hAnsi="Times New Roman" w:cs="Times New Roman"/>
          <w:bCs/>
          <w:sz w:val="24"/>
          <w:szCs w:val="24"/>
          <w:lang w:val="en-GB"/>
        </w:rPr>
        <w:t> 20 000</w:t>
      </w:r>
      <w:r w:rsidR="00052541" w:rsidRPr="007860B5">
        <w:rPr>
          <w:rFonts w:ascii="Times New Roman" w:hAnsi="Times New Roman" w:cs="Times New Roman"/>
          <w:bCs/>
          <w:sz w:val="24"/>
          <w:szCs w:val="24"/>
          <w:lang w:val="en-GB"/>
        </w:rPr>
        <w:t>.</w:t>
      </w:r>
    </w:p>
    <w:p w14:paraId="28B70C56" w14:textId="6CCE3CB7" w:rsidR="00052541" w:rsidRPr="007860B5" w:rsidRDefault="00F47597" w:rsidP="0070728C">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37.</w:t>
      </w:r>
      <w:r w:rsidR="00052541" w:rsidRPr="007860B5">
        <w:rPr>
          <w:rFonts w:ascii="Times New Roman" w:hAnsi="Times New Roman" w:cs="Times New Roman"/>
          <w:bCs/>
          <w:sz w:val="24"/>
          <w:szCs w:val="24"/>
          <w:lang w:val="en-GB"/>
        </w:rPr>
        <w:t xml:space="preserve"> Without prejudice to paragraph 36 banks shall also calculate the annual operational risk loss referred to in paragraph 16, </w:t>
      </w:r>
      <w:proofErr w:type="gramStart"/>
      <w:r w:rsidR="00052541" w:rsidRPr="007860B5">
        <w:rPr>
          <w:rFonts w:ascii="Times New Roman" w:hAnsi="Times New Roman" w:cs="Times New Roman"/>
          <w:bCs/>
          <w:sz w:val="24"/>
          <w:szCs w:val="24"/>
          <w:lang w:val="en-GB"/>
        </w:rPr>
        <w:t>taking into account</w:t>
      </w:r>
      <w:proofErr w:type="gramEnd"/>
      <w:r w:rsidR="00052541" w:rsidRPr="007860B5">
        <w:rPr>
          <w:rFonts w:ascii="Times New Roman" w:hAnsi="Times New Roman" w:cs="Times New Roman"/>
          <w:bCs/>
          <w:sz w:val="24"/>
          <w:szCs w:val="24"/>
          <w:lang w:val="en-GB"/>
        </w:rPr>
        <w:t xml:space="preserve"> from the loss data set operational risk events with a net loss, calculated in accordance with Section 3, that are equal to or exceed MDL 100 000.</w:t>
      </w:r>
    </w:p>
    <w:p w14:paraId="6B6836B8" w14:textId="0CA0B1B8" w:rsidR="00052541" w:rsidRPr="007860B5" w:rsidRDefault="00264BF6"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38.</w:t>
      </w:r>
      <w:r w:rsidRPr="007860B5">
        <w:rPr>
          <w:rFonts w:ascii="Times New Roman" w:hAnsi="Times New Roman" w:cs="Times New Roman"/>
          <w:bCs/>
          <w:sz w:val="24"/>
          <w:szCs w:val="24"/>
          <w:lang w:val="en-GB"/>
        </w:rPr>
        <w:t> </w:t>
      </w:r>
      <w:r w:rsidR="00052541" w:rsidRPr="007860B5">
        <w:rPr>
          <w:rFonts w:ascii="Times New Roman" w:hAnsi="Times New Roman" w:cs="Times New Roman"/>
          <w:bCs/>
          <w:sz w:val="24"/>
          <w:szCs w:val="24"/>
          <w:lang w:val="en-GB"/>
        </w:rPr>
        <w:t xml:space="preserve">In the case of an operational risk event that leads to losses during more than one financial year, as referred to in paragraph 29, the net loss to be </w:t>
      </w:r>
      <w:proofErr w:type="gramStart"/>
      <w:r w:rsidR="00052541" w:rsidRPr="007860B5">
        <w:rPr>
          <w:rFonts w:ascii="Times New Roman" w:hAnsi="Times New Roman" w:cs="Times New Roman"/>
          <w:bCs/>
          <w:sz w:val="24"/>
          <w:szCs w:val="24"/>
          <w:lang w:val="en-GB"/>
        </w:rPr>
        <w:t>taken into account</w:t>
      </w:r>
      <w:proofErr w:type="gramEnd"/>
      <w:r w:rsidR="00052541" w:rsidRPr="007860B5">
        <w:rPr>
          <w:rFonts w:ascii="Times New Roman" w:hAnsi="Times New Roman" w:cs="Times New Roman"/>
          <w:bCs/>
          <w:sz w:val="24"/>
          <w:szCs w:val="24"/>
          <w:lang w:val="en-GB"/>
        </w:rPr>
        <w:t xml:space="preserve"> for the thresholds referred to in paragraphs </w:t>
      </w:r>
      <w:r w:rsidR="00123D52" w:rsidRPr="007860B5">
        <w:rPr>
          <w:rFonts w:ascii="Times New Roman" w:hAnsi="Times New Roman" w:cs="Times New Roman"/>
          <w:bCs/>
          <w:sz w:val="24"/>
          <w:szCs w:val="24"/>
          <w:lang w:val="en-GB"/>
        </w:rPr>
        <w:t>36</w:t>
      </w:r>
      <w:r w:rsidR="00052541" w:rsidRPr="007860B5">
        <w:rPr>
          <w:rFonts w:ascii="Times New Roman" w:hAnsi="Times New Roman" w:cs="Times New Roman"/>
          <w:bCs/>
          <w:sz w:val="24"/>
          <w:szCs w:val="24"/>
          <w:lang w:val="en-GB"/>
        </w:rPr>
        <w:t xml:space="preserve"> and </w:t>
      </w:r>
      <w:r w:rsidR="00123D52" w:rsidRPr="007860B5">
        <w:rPr>
          <w:rFonts w:ascii="Times New Roman" w:hAnsi="Times New Roman" w:cs="Times New Roman"/>
          <w:bCs/>
          <w:sz w:val="24"/>
          <w:szCs w:val="24"/>
          <w:lang w:val="en-GB"/>
        </w:rPr>
        <w:t>37</w:t>
      </w:r>
      <w:r w:rsidR="00052541" w:rsidRPr="007860B5">
        <w:rPr>
          <w:rFonts w:ascii="Times New Roman" w:hAnsi="Times New Roman" w:cs="Times New Roman"/>
          <w:bCs/>
          <w:sz w:val="24"/>
          <w:szCs w:val="24"/>
          <w:lang w:val="en-GB"/>
        </w:rPr>
        <w:t xml:space="preserve"> shall be the aggregated net loss.</w:t>
      </w:r>
    </w:p>
    <w:p w14:paraId="1F7A84E9" w14:textId="2EEF50A2" w:rsidR="00CC7688" w:rsidRPr="007860B5" w:rsidRDefault="00CC7688" w:rsidP="00F47597">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39.</w:t>
      </w:r>
      <w:r w:rsidRPr="007860B5">
        <w:rPr>
          <w:rFonts w:ascii="Times New Roman" w:hAnsi="Times New Roman" w:cs="Times New Roman"/>
          <w:bCs/>
          <w:sz w:val="24"/>
          <w:szCs w:val="24"/>
          <w:lang w:val="en-GB"/>
        </w:rPr>
        <w:t xml:space="preserve"> </w:t>
      </w:r>
      <w:proofErr w:type="gramStart"/>
      <w:r w:rsidR="00123D52" w:rsidRPr="007860B5">
        <w:rPr>
          <w:rFonts w:ascii="Times New Roman" w:hAnsi="Times New Roman" w:cs="Times New Roman"/>
          <w:bCs/>
          <w:sz w:val="24"/>
          <w:szCs w:val="24"/>
          <w:lang w:val="en-GB"/>
        </w:rPr>
        <w:t>For the purpose of</w:t>
      </w:r>
      <w:proofErr w:type="gramEnd"/>
      <w:r w:rsidR="00123D52" w:rsidRPr="007860B5">
        <w:rPr>
          <w:rFonts w:ascii="Times New Roman" w:hAnsi="Times New Roman" w:cs="Times New Roman"/>
          <w:bCs/>
          <w:sz w:val="24"/>
          <w:szCs w:val="24"/>
          <w:lang w:val="en-GB"/>
        </w:rPr>
        <w:t xml:space="preserve"> collecting and analysing general data on internal losses, banks shall apply internal thresholds for losses arising from operational risk events, depending on the complexity and risk profile of the bank, for the purpose of prudent operational risk management</w:t>
      </w:r>
      <w:r w:rsidRPr="007860B5">
        <w:rPr>
          <w:rFonts w:ascii="Times New Roman" w:hAnsi="Times New Roman" w:cs="Times New Roman"/>
          <w:bCs/>
          <w:sz w:val="24"/>
          <w:szCs w:val="24"/>
          <w:lang w:val="en-GB"/>
        </w:rPr>
        <w:t>.”</w:t>
      </w:r>
    </w:p>
    <w:p w14:paraId="06E8CAA1" w14:textId="2116C572" w:rsidR="00264BF6" w:rsidRPr="007860B5" w:rsidRDefault="00123D52" w:rsidP="00264BF6">
      <w:pPr>
        <w:rPr>
          <w:rFonts w:ascii="Times New Roman" w:hAnsi="Times New Roman" w:cs="Times New Roman"/>
          <w:b/>
          <w:bCs/>
          <w:sz w:val="24"/>
          <w:szCs w:val="24"/>
          <w:lang w:val="en-GB"/>
        </w:rPr>
      </w:pPr>
      <w:bookmarkStart w:id="13" w:name="_Hlk193372152"/>
      <w:r w:rsidRPr="007860B5">
        <w:rPr>
          <w:rFonts w:ascii="Times New Roman" w:hAnsi="Times New Roman" w:cs="Times New Roman"/>
          <w:b/>
          <w:bCs/>
          <w:sz w:val="24"/>
          <w:szCs w:val="24"/>
          <w:lang w:val="en-GB"/>
        </w:rPr>
        <w:t>Section</w:t>
      </w:r>
      <w:r w:rsidR="00264BF6" w:rsidRPr="007860B5">
        <w:rPr>
          <w:rFonts w:ascii="Times New Roman" w:hAnsi="Times New Roman" w:cs="Times New Roman"/>
          <w:b/>
          <w:bCs/>
          <w:sz w:val="24"/>
          <w:szCs w:val="24"/>
          <w:lang w:val="en-GB"/>
        </w:rPr>
        <w:t xml:space="preserve"> 5. </w:t>
      </w:r>
      <w:r w:rsidRPr="007860B5">
        <w:rPr>
          <w:rFonts w:ascii="Times New Roman" w:hAnsi="Times New Roman" w:cs="Times New Roman"/>
          <w:b/>
          <w:bCs/>
          <w:sz w:val="24"/>
          <w:szCs w:val="24"/>
          <w:lang w:val="en-GB"/>
        </w:rPr>
        <w:t>Exclusion of losses</w:t>
      </w:r>
    </w:p>
    <w:p w14:paraId="2A048355" w14:textId="5855CEEE" w:rsidR="00123D52" w:rsidRPr="007860B5" w:rsidRDefault="00CC7688" w:rsidP="00264BF6">
      <w:pPr>
        <w:rPr>
          <w:rFonts w:ascii="Times New Roman" w:hAnsi="Times New Roman" w:cs="Times New Roman"/>
          <w:bCs/>
          <w:sz w:val="24"/>
          <w:szCs w:val="24"/>
          <w:lang w:val="en-GB"/>
        </w:rPr>
      </w:pPr>
      <w:bookmarkStart w:id="14" w:name="_Hlk193374666"/>
      <w:bookmarkEnd w:id="13"/>
      <w:r w:rsidRPr="007860B5">
        <w:rPr>
          <w:rFonts w:ascii="Times New Roman" w:hAnsi="Times New Roman" w:cs="Times New Roman"/>
          <w:b/>
          <w:sz w:val="24"/>
          <w:szCs w:val="24"/>
          <w:lang w:val="en-GB"/>
        </w:rPr>
        <w:t>40</w:t>
      </w:r>
      <w:r w:rsidR="00264BF6" w:rsidRPr="007860B5">
        <w:rPr>
          <w:rFonts w:ascii="Times New Roman" w:hAnsi="Times New Roman" w:cs="Times New Roman"/>
          <w:b/>
          <w:sz w:val="24"/>
          <w:szCs w:val="24"/>
          <w:lang w:val="en-GB"/>
        </w:rPr>
        <w:t>.</w:t>
      </w:r>
      <w:r w:rsidR="00123D52" w:rsidRPr="007860B5">
        <w:rPr>
          <w:rFonts w:ascii="Times New Roman" w:hAnsi="Times New Roman" w:cs="Times New Roman"/>
          <w:bCs/>
          <w:sz w:val="24"/>
          <w:szCs w:val="24"/>
          <w:lang w:val="en-GB"/>
        </w:rPr>
        <w:t xml:space="preserve"> A bank may request the NBM’s pr</w:t>
      </w:r>
      <w:r w:rsidR="00353C1D">
        <w:rPr>
          <w:rFonts w:ascii="Times New Roman" w:hAnsi="Times New Roman" w:cs="Times New Roman"/>
          <w:bCs/>
          <w:sz w:val="24"/>
          <w:szCs w:val="24"/>
          <w:lang w:val="en-GB"/>
        </w:rPr>
        <w:t>i</w:t>
      </w:r>
      <w:r w:rsidR="00123D52" w:rsidRPr="007860B5">
        <w:rPr>
          <w:rFonts w:ascii="Times New Roman" w:hAnsi="Times New Roman" w:cs="Times New Roman"/>
          <w:bCs/>
          <w:sz w:val="24"/>
          <w:szCs w:val="24"/>
          <w:lang w:val="en-GB"/>
        </w:rPr>
        <w:t xml:space="preserve">or approval to exclude from the calculation of its annual operational risk loss exceptional operational risk events that are no longer relevant to the bank’s risk profile, where </w:t>
      </w:r>
      <w:proofErr w:type="gramStart"/>
      <w:r w:rsidR="00123D52" w:rsidRPr="007860B5">
        <w:rPr>
          <w:rFonts w:ascii="Times New Roman" w:hAnsi="Times New Roman" w:cs="Times New Roman"/>
          <w:bCs/>
          <w:sz w:val="24"/>
          <w:szCs w:val="24"/>
          <w:lang w:val="en-GB"/>
        </w:rPr>
        <w:t>all of</w:t>
      </w:r>
      <w:proofErr w:type="gramEnd"/>
      <w:r w:rsidR="00123D52" w:rsidRPr="007860B5">
        <w:rPr>
          <w:rFonts w:ascii="Times New Roman" w:hAnsi="Times New Roman" w:cs="Times New Roman"/>
          <w:bCs/>
          <w:sz w:val="24"/>
          <w:szCs w:val="24"/>
          <w:lang w:val="en-GB"/>
        </w:rPr>
        <w:t xml:space="preserve"> the following conditions are met</w:t>
      </w:r>
      <w:r w:rsidR="00A0060A">
        <w:rPr>
          <w:rFonts w:ascii="Times New Roman" w:hAnsi="Times New Roman" w:cs="Times New Roman"/>
          <w:bCs/>
          <w:sz w:val="24"/>
          <w:szCs w:val="24"/>
          <w:lang w:val="en-GB"/>
        </w:rPr>
        <w:t>:</w:t>
      </w:r>
    </w:p>
    <w:bookmarkEnd w:id="14"/>
    <w:p w14:paraId="48C488A1" w14:textId="3A7D9E23" w:rsidR="00123D52"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40</w:t>
      </w:r>
      <w:r w:rsidR="00264BF6" w:rsidRPr="007860B5">
        <w:rPr>
          <w:rFonts w:ascii="Times New Roman" w:hAnsi="Times New Roman" w:cs="Times New Roman"/>
          <w:bCs/>
          <w:sz w:val="24"/>
          <w:szCs w:val="24"/>
          <w:lang w:val="en-GB"/>
        </w:rPr>
        <w:t>.1. </w:t>
      </w:r>
      <w:r w:rsidR="00123D52" w:rsidRPr="007860B5">
        <w:rPr>
          <w:rFonts w:ascii="Times New Roman" w:hAnsi="Times New Roman" w:cs="Times New Roman"/>
          <w:bCs/>
          <w:sz w:val="24"/>
          <w:szCs w:val="24"/>
          <w:lang w:val="en-GB"/>
        </w:rPr>
        <w:t xml:space="preserve">the bank can demonstrate to the satisfaction of the NBM that the cause of the operational risk event at the origin of those operational risk losses will not occur </w:t>
      </w:r>
      <w:proofErr w:type="gramStart"/>
      <w:r w:rsidR="00123D52" w:rsidRPr="007860B5">
        <w:rPr>
          <w:rFonts w:ascii="Times New Roman" w:hAnsi="Times New Roman" w:cs="Times New Roman"/>
          <w:bCs/>
          <w:sz w:val="24"/>
          <w:szCs w:val="24"/>
          <w:lang w:val="en-GB"/>
        </w:rPr>
        <w:t>again;</w:t>
      </w:r>
      <w:proofErr w:type="gramEnd"/>
    </w:p>
    <w:p w14:paraId="0FBB9CE8" w14:textId="1AF60717"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lastRenderedPageBreak/>
        <w:t>40</w:t>
      </w:r>
      <w:r w:rsidR="00264BF6" w:rsidRPr="007860B5">
        <w:rPr>
          <w:rFonts w:ascii="Times New Roman" w:hAnsi="Times New Roman" w:cs="Times New Roman"/>
          <w:bCs/>
          <w:sz w:val="24"/>
          <w:szCs w:val="24"/>
          <w:lang w:val="en-GB"/>
        </w:rPr>
        <w:t>.2. </w:t>
      </w:r>
      <w:r w:rsidR="008063BC" w:rsidRPr="007860B5">
        <w:rPr>
          <w:rFonts w:ascii="Times New Roman" w:hAnsi="Times New Roman" w:cs="Times New Roman"/>
          <w:bCs/>
          <w:sz w:val="24"/>
          <w:szCs w:val="24"/>
          <w:lang w:val="en-GB"/>
        </w:rPr>
        <w:t>the aggregated net loss of the corresponding operational risk event is either of the following</w:t>
      </w:r>
      <w:r w:rsidR="00264BF6" w:rsidRPr="007860B5">
        <w:rPr>
          <w:rFonts w:ascii="Times New Roman" w:hAnsi="Times New Roman" w:cs="Times New Roman"/>
          <w:bCs/>
          <w:sz w:val="24"/>
          <w:szCs w:val="24"/>
          <w:lang w:val="en-GB"/>
        </w:rPr>
        <w:t>:</w:t>
      </w:r>
    </w:p>
    <w:p w14:paraId="29B1610C" w14:textId="0C943D03" w:rsidR="008063BC"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40</w:t>
      </w:r>
      <w:r w:rsidR="00264BF6" w:rsidRPr="007860B5">
        <w:rPr>
          <w:rFonts w:ascii="Times New Roman" w:hAnsi="Times New Roman" w:cs="Times New Roman"/>
          <w:bCs/>
          <w:sz w:val="24"/>
          <w:szCs w:val="24"/>
          <w:lang w:val="en-GB"/>
        </w:rPr>
        <w:t>.2.1. </w:t>
      </w:r>
      <w:r w:rsidR="008063BC" w:rsidRPr="007860B5">
        <w:rPr>
          <w:rFonts w:ascii="Times New Roman" w:hAnsi="Times New Roman" w:cs="Times New Roman"/>
          <w:bCs/>
          <w:sz w:val="24"/>
          <w:szCs w:val="24"/>
          <w:lang w:val="en-GB"/>
        </w:rPr>
        <w:t xml:space="preserve">equal to or exceed 10 % of the bank’s average annual operational risk loss, calculated over the last 10 financial years and based on the threshold referred to in paragraph 36, where the operational risk loss event refers to activities that are still part of the business </w:t>
      </w:r>
      <w:proofErr w:type="gramStart"/>
      <w:r w:rsidR="008063BC" w:rsidRPr="007860B5">
        <w:rPr>
          <w:rFonts w:ascii="Times New Roman" w:hAnsi="Times New Roman" w:cs="Times New Roman"/>
          <w:bCs/>
          <w:sz w:val="24"/>
          <w:szCs w:val="24"/>
          <w:lang w:val="en-GB"/>
        </w:rPr>
        <w:t>indicator;</w:t>
      </w:r>
      <w:proofErr w:type="gramEnd"/>
    </w:p>
    <w:p w14:paraId="364247A0" w14:textId="5B302B97" w:rsidR="008063BC"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40</w:t>
      </w:r>
      <w:r w:rsidR="00264BF6" w:rsidRPr="007860B5">
        <w:rPr>
          <w:rFonts w:ascii="Times New Roman" w:hAnsi="Times New Roman" w:cs="Times New Roman"/>
          <w:bCs/>
          <w:sz w:val="24"/>
          <w:szCs w:val="24"/>
          <w:lang w:val="en-GB"/>
        </w:rPr>
        <w:t>.2.2.</w:t>
      </w:r>
      <w:r w:rsidR="008063BC" w:rsidRPr="007860B5">
        <w:rPr>
          <w:rFonts w:ascii="Times New Roman" w:hAnsi="Times New Roman" w:cs="Times New Roman"/>
          <w:bCs/>
          <w:sz w:val="24"/>
          <w:szCs w:val="24"/>
          <w:lang w:val="en-GB"/>
        </w:rPr>
        <w:t xml:space="preserve"> related to an operational risk event that refers to activities divested from the business indicator in accordance with paragraph </w:t>
      </w:r>
      <w:proofErr w:type="gramStart"/>
      <w:r w:rsidR="008063BC" w:rsidRPr="007860B5">
        <w:rPr>
          <w:rFonts w:ascii="Times New Roman" w:hAnsi="Times New Roman" w:cs="Times New Roman"/>
          <w:bCs/>
          <w:sz w:val="24"/>
          <w:szCs w:val="24"/>
          <w:lang w:val="en-GB"/>
        </w:rPr>
        <w:t>15;</w:t>
      </w:r>
      <w:proofErr w:type="gramEnd"/>
    </w:p>
    <w:p w14:paraId="2790527F" w14:textId="4C3441D2" w:rsidR="003423A3"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40</w:t>
      </w:r>
      <w:r w:rsidR="00264BF6" w:rsidRPr="007860B5">
        <w:rPr>
          <w:rFonts w:ascii="Times New Roman" w:hAnsi="Times New Roman" w:cs="Times New Roman"/>
          <w:bCs/>
          <w:sz w:val="24"/>
          <w:szCs w:val="24"/>
          <w:lang w:val="en-GB"/>
        </w:rPr>
        <w:t xml:space="preserve">.3. </w:t>
      </w:r>
      <w:r w:rsidR="003423A3" w:rsidRPr="007860B5">
        <w:rPr>
          <w:rFonts w:ascii="Times New Roman" w:hAnsi="Times New Roman" w:cs="Times New Roman"/>
          <w:bCs/>
          <w:sz w:val="24"/>
          <w:szCs w:val="24"/>
          <w:lang w:val="en-GB"/>
        </w:rPr>
        <w:t>the operational risk loss was in the loss database for a minimum period of one year, unless the operational risk loss is related to activities divested from the business indicator in accordance with paragraph 15.</w:t>
      </w:r>
    </w:p>
    <w:p w14:paraId="78F398C8" w14:textId="52645657" w:rsidR="003423A3"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41</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xml:space="preserve"> </w:t>
      </w:r>
      <w:r w:rsidR="003423A3" w:rsidRPr="007860B5">
        <w:rPr>
          <w:rFonts w:ascii="Times New Roman" w:hAnsi="Times New Roman" w:cs="Times New Roman"/>
          <w:bCs/>
          <w:sz w:val="24"/>
          <w:szCs w:val="24"/>
          <w:lang w:val="en-GB"/>
        </w:rPr>
        <w:t>For the purposes of the sub-paragraph, 40.3, the minimum period of one year shall start from the date on which the operational risk event, included in the loss data set, first became greater than the materiality threshold provided for in paragraph 36.</w:t>
      </w:r>
    </w:p>
    <w:p w14:paraId="26F077ED" w14:textId="6BDAFF85" w:rsidR="003423A3"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42</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w:t>
      </w:r>
      <w:r w:rsidR="003423A3" w:rsidRPr="007860B5">
        <w:rPr>
          <w:rFonts w:ascii="Times New Roman" w:hAnsi="Times New Roman" w:cs="Times New Roman"/>
          <w:bCs/>
          <w:sz w:val="24"/>
          <w:szCs w:val="24"/>
          <w:lang w:val="en-GB"/>
        </w:rPr>
        <w:t>A bank requesting the permission referred to in paragraph 40 shall provide the NBM with documented justifications for the exclusion of an exceptional operational risk event, including:</w:t>
      </w:r>
    </w:p>
    <w:p w14:paraId="1DD91609" w14:textId="57D65687"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.1. </w:t>
      </w:r>
      <w:r w:rsidR="003423A3" w:rsidRPr="007860B5">
        <w:rPr>
          <w:rFonts w:ascii="Times New Roman" w:hAnsi="Times New Roman" w:cs="Times New Roman"/>
          <w:bCs/>
          <w:sz w:val="24"/>
          <w:szCs w:val="24"/>
          <w:lang w:val="en-GB"/>
        </w:rPr>
        <w:t xml:space="preserve">a description of the operational risk </w:t>
      </w:r>
      <w:proofErr w:type="gramStart"/>
      <w:r w:rsidR="003423A3" w:rsidRPr="007860B5">
        <w:rPr>
          <w:rFonts w:ascii="Times New Roman" w:hAnsi="Times New Roman" w:cs="Times New Roman"/>
          <w:bCs/>
          <w:sz w:val="24"/>
          <w:szCs w:val="24"/>
          <w:lang w:val="en-GB"/>
        </w:rPr>
        <w:t>event</w:t>
      </w:r>
      <w:r w:rsidR="00264BF6" w:rsidRPr="007860B5">
        <w:rPr>
          <w:rFonts w:ascii="Times New Roman" w:hAnsi="Times New Roman" w:cs="Times New Roman"/>
          <w:bCs/>
          <w:sz w:val="24"/>
          <w:szCs w:val="24"/>
          <w:lang w:val="en-GB"/>
        </w:rPr>
        <w:t>;</w:t>
      </w:r>
      <w:proofErr w:type="gramEnd"/>
    </w:p>
    <w:p w14:paraId="39A1321A" w14:textId="2F6C552C" w:rsidR="00CC518A"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.2. </w:t>
      </w:r>
      <w:r w:rsidR="00CC518A" w:rsidRPr="007860B5">
        <w:rPr>
          <w:rFonts w:ascii="Times New Roman" w:hAnsi="Times New Roman" w:cs="Times New Roman"/>
          <w:bCs/>
          <w:sz w:val="24"/>
          <w:szCs w:val="24"/>
          <w:lang w:val="en-GB"/>
        </w:rPr>
        <w:t xml:space="preserve">proof that the loss from the operational risk event is above the materiality threshold for loss exclusion referred to in sub-paragraph 40.2.1, including the date on which that operational risk event became greater than the materiality </w:t>
      </w:r>
      <w:proofErr w:type="gramStart"/>
      <w:r w:rsidR="00CC518A" w:rsidRPr="007860B5">
        <w:rPr>
          <w:rFonts w:ascii="Times New Roman" w:hAnsi="Times New Roman" w:cs="Times New Roman"/>
          <w:bCs/>
          <w:sz w:val="24"/>
          <w:szCs w:val="24"/>
          <w:lang w:val="en-GB"/>
        </w:rPr>
        <w:t>threshold;</w:t>
      </w:r>
      <w:proofErr w:type="gramEnd"/>
    </w:p>
    <w:p w14:paraId="73E3D091" w14:textId="41B22ACE" w:rsidR="00CC518A"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.3.</w:t>
      </w:r>
      <w:r w:rsidR="00CC518A" w:rsidRPr="007860B5">
        <w:rPr>
          <w:rFonts w:ascii="Times New Roman" w:hAnsi="Times New Roman" w:cs="Times New Roman"/>
          <w:bCs/>
          <w:sz w:val="24"/>
          <w:szCs w:val="24"/>
          <w:lang w:val="en-GB"/>
        </w:rPr>
        <w:t xml:space="preserve"> the date on which the operational risk event concerned would be excluded, considering the minimum retention period set out in sub-paragraph </w:t>
      </w:r>
      <w:proofErr w:type="gramStart"/>
      <w:r w:rsidR="00CC518A" w:rsidRPr="007860B5">
        <w:rPr>
          <w:rFonts w:ascii="Times New Roman" w:hAnsi="Times New Roman" w:cs="Times New Roman"/>
          <w:bCs/>
          <w:sz w:val="24"/>
          <w:szCs w:val="24"/>
          <w:lang w:val="en-GB"/>
        </w:rPr>
        <w:t>40.3;</w:t>
      </w:r>
      <w:proofErr w:type="gramEnd"/>
    </w:p>
    <w:p w14:paraId="696BE578" w14:textId="53DBC1F2" w:rsidR="00CC518A"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.4. </w:t>
      </w:r>
      <w:r w:rsidR="00CC518A" w:rsidRPr="007860B5">
        <w:rPr>
          <w:rFonts w:ascii="Times New Roman" w:hAnsi="Times New Roman" w:cs="Times New Roman"/>
          <w:bCs/>
          <w:sz w:val="24"/>
          <w:szCs w:val="24"/>
          <w:lang w:val="en-GB"/>
        </w:rPr>
        <w:t xml:space="preserve">the reason why the operational risk event is no longer deemed relevant to the bank’s risk </w:t>
      </w:r>
      <w:proofErr w:type="gramStart"/>
      <w:r w:rsidR="00CC518A" w:rsidRPr="007860B5">
        <w:rPr>
          <w:rFonts w:ascii="Times New Roman" w:hAnsi="Times New Roman" w:cs="Times New Roman"/>
          <w:bCs/>
          <w:sz w:val="24"/>
          <w:szCs w:val="24"/>
          <w:lang w:val="en-GB"/>
        </w:rPr>
        <w:t>profile;</w:t>
      </w:r>
      <w:proofErr w:type="gramEnd"/>
    </w:p>
    <w:p w14:paraId="59F5142E" w14:textId="2033FC79" w:rsidR="00CC518A"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.5. </w:t>
      </w:r>
      <w:r w:rsidR="00CC518A" w:rsidRPr="007860B5">
        <w:rPr>
          <w:rFonts w:ascii="Times New Roman" w:hAnsi="Times New Roman" w:cs="Times New Roman"/>
          <w:bCs/>
          <w:sz w:val="24"/>
          <w:szCs w:val="24"/>
          <w:lang w:val="en-GB"/>
        </w:rPr>
        <w:t xml:space="preserve">a demonstration that there are no similar or residual legal exposures and that the operational risk event to be excluded has no relevance to other activities or </w:t>
      </w:r>
      <w:proofErr w:type="gramStart"/>
      <w:r w:rsidR="00CC518A" w:rsidRPr="007860B5">
        <w:rPr>
          <w:rFonts w:ascii="Times New Roman" w:hAnsi="Times New Roman" w:cs="Times New Roman"/>
          <w:bCs/>
          <w:sz w:val="24"/>
          <w:szCs w:val="24"/>
          <w:lang w:val="en-GB"/>
        </w:rPr>
        <w:t>products;</w:t>
      </w:r>
      <w:proofErr w:type="gramEnd"/>
    </w:p>
    <w:p w14:paraId="1B7D1304" w14:textId="1BCB30F1"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.6. </w:t>
      </w:r>
      <w:r w:rsidR="00C23ABC" w:rsidRPr="007860B5">
        <w:rPr>
          <w:rFonts w:ascii="Times New Roman" w:hAnsi="Times New Roman" w:cs="Times New Roman"/>
          <w:bCs/>
          <w:sz w:val="24"/>
          <w:szCs w:val="24"/>
          <w:lang w:val="en-GB"/>
        </w:rPr>
        <w:t xml:space="preserve">reports of the </w:t>
      </w:r>
      <w:r w:rsidR="006178B2" w:rsidRPr="007860B5">
        <w:rPr>
          <w:rFonts w:ascii="Times New Roman" w:hAnsi="Times New Roman" w:cs="Times New Roman"/>
          <w:bCs/>
          <w:sz w:val="24"/>
          <w:szCs w:val="24"/>
          <w:lang w:val="en-GB"/>
        </w:rPr>
        <w:t>bank’s</w:t>
      </w:r>
      <w:r w:rsidR="00C23ABC" w:rsidRPr="007860B5">
        <w:rPr>
          <w:rFonts w:ascii="Times New Roman" w:hAnsi="Times New Roman" w:cs="Times New Roman"/>
          <w:bCs/>
          <w:sz w:val="24"/>
          <w:szCs w:val="24"/>
          <w:lang w:val="en-GB"/>
        </w:rPr>
        <w:t xml:space="preserve"> independent review or validation, confirming that the operational risk event is no longer relevant and that there are no similar or residual legal </w:t>
      </w:r>
      <w:proofErr w:type="gramStart"/>
      <w:r w:rsidR="00C23ABC" w:rsidRPr="007860B5">
        <w:rPr>
          <w:rFonts w:ascii="Times New Roman" w:hAnsi="Times New Roman" w:cs="Times New Roman"/>
          <w:bCs/>
          <w:sz w:val="24"/>
          <w:szCs w:val="24"/>
          <w:lang w:val="en-GB"/>
        </w:rPr>
        <w:t>exposures;</w:t>
      </w:r>
      <w:proofErr w:type="gramEnd"/>
    </w:p>
    <w:p w14:paraId="284F459D" w14:textId="5124C0CE"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.7. </w:t>
      </w:r>
      <w:r w:rsidR="00C23ABC" w:rsidRPr="007860B5">
        <w:rPr>
          <w:rFonts w:ascii="Times New Roman" w:hAnsi="Times New Roman" w:cs="Times New Roman"/>
          <w:bCs/>
          <w:sz w:val="24"/>
          <w:szCs w:val="24"/>
          <w:lang w:val="en-GB"/>
        </w:rPr>
        <w:t xml:space="preserve">proof that competent bodies of the bank, through the bank’s approval processes, have approved the request for exclusion of the operational risk event and the date of such </w:t>
      </w:r>
      <w:proofErr w:type="gramStart"/>
      <w:r w:rsidR="00C23ABC" w:rsidRPr="007860B5">
        <w:rPr>
          <w:rFonts w:ascii="Times New Roman" w:hAnsi="Times New Roman" w:cs="Times New Roman"/>
          <w:bCs/>
          <w:sz w:val="24"/>
          <w:szCs w:val="24"/>
          <w:lang w:val="en-GB"/>
        </w:rPr>
        <w:t>approval</w:t>
      </w:r>
      <w:r w:rsidR="00264BF6" w:rsidRPr="007860B5">
        <w:rPr>
          <w:rFonts w:ascii="Times New Roman" w:hAnsi="Times New Roman" w:cs="Times New Roman"/>
          <w:bCs/>
          <w:sz w:val="24"/>
          <w:szCs w:val="24"/>
          <w:lang w:val="en-GB"/>
        </w:rPr>
        <w:t>;</w:t>
      </w:r>
      <w:proofErr w:type="gramEnd"/>
    </w:p>
    <w:p w14:paraId="5899F2BE" w14:textId="302AEE66"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42</w:t>
      </w:r>
      <w:r w:rsidR="00264BF6" w:rsidRPr="007860B5">
        <w:rPr>
          <w:rFonts w:ascii="Times New Roman" w:hAnsi="Times New Roman" w:cs="Times New Roman"/>
          <w:bCs/>
          <w:sz w:val="24"/>
          <w:szCs w:val="24"/>
          <w:lang w:val="en-GB"/>
        </w:rPr>
        <w:t>.8. </w:t>
      </w:r>
      <w:r w:rsidR="00C23ABC" w:rsidRPr="007860B5">
        <w:rPr>
          <w:rFonts w:ascii="Times New Roman" w:hAnsi="Times New Roman" w:cs="Times New Roman"/>
          <w:bCs/>
          <w:sz w:val="24"/>
          <w:szCs w:val="24"/>
          <w:lang w:val="en-GB"/>
        </w:rPr>
        <w:t>the impact of the exclusion of the operational risk event on the annual operational risk loss</w:t>
      </w:r>
      <w:r w:rsidR="00264BF6" w:rsidRPr="007860B5">
        <w:rPr>
          <w:rFonts w:ascii="Times New Roman" w:hAnsi="Times New Roman" w:cs="Times New Roman"/>
          <w:bCs/>
          <w:sz w:val="24"/>
          <w:szCs w:val="24"/>
          <w:lang w:val="en-GB"/>
        </w:rPr>
        <w:t>.</w:t>
      </w:r>
    </w:p>
    <w:p w14:paraId="5D4C6D63" w14:textId="1FC51000" w:rsidR="00264BF6" w:rsidRPr="007860B5" w:rsidRDefault="00C23ABC" w:rsidP="00264BF6">
      <w:pPr>
        <w:rPr>
          <w:rFonts w:ascii="Times New Roman" w:hAnsi="Times New Roman" w:cs="Times New Roman"/>
          <w:b/>
          <w:bCs/>
          <w:sz w:val="24"/>
          <w:szCs w:val="24"/>
          <w:lang w:val="en-GB"/>
        </w:rPr>
      </w:pPr>
      <w:bookmarkStart w:id="15" w:name="_Hlk193372200"/>
      <w:r w:rsidRPr="007860B5">
        <w:rPr>
          <w:rFonts w:ascii="Times New Roman" w:hAnsi="Times New Roman" w:cs="Times New Roman"/>
          <w:b/>
          <w:bCs/>
          <w:sz w:val="24"/>
          <w:szCs w:val="24"/>
          <w:lang w:val="en-GB"/>
        </w:rPr>
        <w:t>Section</w:t>
      </w:r>
      <w:r w:rsidR="00264BF6" w:rsidRPr="007860B5">
        <w:rPr>
          <w:rFonts w:ascii="Times New Roman" w:hAnsi="Times New Roman" w:cs="Times New Roman"/>
          <w:b/>
          <w:bCs/>
          <w:sz w:val="24"/>
          <w:szCs w:val="24"/>
          <w:lang w:val="en-GB"/>
        </w:rPr>
        <w:t xml:space="preserve"> 6.</w:t>
      </w:r>
      <w:r w:rsidR="00423A8A" w:rsidRPr="007860B5">
        <w:rPr>
          <w:rFonts w:ascii="Times New Roman" w:hAnsi="Times New Roman" w:cs="Times New Roman"/>
          <w:b/>
          <w:bCs/>
          <w:sz w:val="24"/>
          <w:szCs w:val="24"/>
          <w:lang w:val="en-GB"/>
        </w:rPr>
        <w:t xml:space="preserve"> </w:t>
      </w:r>
      <w:r w:rsidRPr="007860B5">
        <w:rPr>
          <w:rFonts w:ascii="Times New Roman" w:hAnsi="Times New Roman" w:cs="Times New Roman"/>
          <w:b/>
          <w:bCs/>
          <w:sz w:val="24"/>
          <w:szCs w:val="24"/>
          <w:lang w:val="en-GB"/>
        </w:rPr>
        <w:t>Inclusion of losses from merged or acquired entities or activities</w:t>
      </w:r>
    </w:p>
    <w:bookmarkEnd w:id="15"/>
    <w:p w14:paraId="336CA7BD" w14:textId="2E011399" w:rsidR="00C23ABC"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43</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w:t>
      </w:r>
      <w:r w:rsidR="00C23ABC" w:rsidRPr="007860B5">
        <w:rPr>
          <w:rFonts w:ascii="Times New Roman" w:hAnsi="Times New Roman" w:cs="Times New Roman"/>
          <w:bCs/>
          <w:sz w:val="24"/>
          <w:szCs w:val="24"/>
          <w:lang w:val="en-GB"/>
        </w:rPr>
        <w:t>Losses stemming from merged or acquired entities or activities shall be included in the loss data set as soon as the business indicator items related to those entities or activities are included in the bank’s business indicator calculation in accordance with paragraph 14. To that end, banks shall include losses observed during a 10-year period prior to the acquisition or merger</w:t>
      </w:r>
      <w:r w:rsidR="006C1F08">
        <w:rPr>
          <w:rFonts w:ascii="Times New Roman" w:hAnsi="Times New Roman" w:cs="Times New Roman"/>
          <w:bCs/>
          <w:sz w:val="24"/>
          <w:szCs w:val="24"/>
          <w:lang w:val="en-GB"/>
        </w:rPr>
        <w:t>.</w:t>
      </w:r>
    </w:p>
    <w:p w14:paraId="7517AD24" w14:textId="7591EDD0" w:rsidR="00264BF6" w:rsidRPr="007860B5" w:rsidRDefault="00C23ABC" w:rsidP="00264BF6">
      <w:pPr>
        <w:rPr>
          <w:rFonts w:ascii="Times New Roman" w:hAnsi="Times New Roman" w:cs="Times New Roman"/>
          <w:b/>
          <w:bCs/>
          <w:sz w:val="24"/>
          <w:szCs w:val="24"/>
          <w:lang w:val="en-GB"/>
        </w:rPr>
      </w:pPr>
      <w:bookmarkStart w:id="16" w:name="_Hlk193372229"/>
      <w:r w:rsidRPr="007860B5">
        <w:rPr>
          <w:rFonts w:ascii="Times New Roman" w:hAnsi="Times New Roman" w:cs="Times New Roman"/>
          <w:b/>
          <w:bCs/>
          <w:sz w:val="24"/>
          <w:szCs w:val="24"/>
          <w:lang w:val="en-GB"/>
        </w:rPr>
        <w:t>Section</w:t>
      </w:r>
      <w:r w:rsidR="00264BF6" w:rsidRPr="007860B5">
        <w:rPr>
          <w:rFonts w:ascii="Times New Roman" w:hAnsi="Times New Roman" w:cs="Times New Roman"/>
          <w:b/>
          <w:bCs/>
          <w:sz w:val="24"/>
          <w:szCs w:val="24"/>
          <w:lang w:val="en-GB"/>
        </w:rPr>
        <w:t xml:space="preserve"> 7.</w:t>
      </w:r>
      <w:r w:rsidR="00264BF6" w:rsidRPr="007860B5" w:rsidDel="00707DAF">
        <w:rPr>
          <w:rFonts w:ascii="Times New Roman" w:hAnsi="Times New Roman" w:cs="Times New Roman"/>
          <w:bCs/>
          <w:i/>
          <w:iCs/>
          <w:sz w:val="24"/>
          <w:szCs w:val="24"/>
          <w:lang w:val="en-GB"/>
        </w:rPr>
        <w:t xml:space="preserve"> </w:t>
      </w:r>
      <w:r w:rsidRPr="007860B5">
        <w:rPr>
          <w:rFonts w:ascii="Times New Roman" w:hAnsi="Times New Roman" w:cs="Times New Roman"/>
          <w:b/>
          <w:bCs/>
          <w:sz w:val="24"/>
          <w:szCs w:val="24"/>
          <w:lang w:val="en-GB"/>
        </w:rPr>
        <w:t>Comprehensiveness, accuracy and quality of the loss data</w:t>
      </w:r>
    </w:p>
    <w:bookmarkEnd w:id="16"/>
    <w:p w14:paraId="6176B1E5" w14:textId="78D13BFA"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44</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w:t>
      </w:r>
      <w:r w:rsidR="003F70E3" w:rsidRPr="007860B5">
        <w:rPr>
          <w:rFonts w:ascii="Times New Roman" w:hAnsi="Times New Roman" w:cs="Times New Roman"/>
          <w:bCs/>
          <w:sz w:val="24"/>
          <w:szCs w:val="24"/>
          <w:lang w:val="en-GB"/>
        </w:rPr>
        <w:t>Banks shall have in place the organisation and processes to ensure the comprehensiveness, accuracy and quality of the loss data and to subject that data to independent review.</w:t>
      </w:r>
    </w:p>
    <w:p w14:paraId="175FF940" w14:textId="69DA9C9F" w:rsidR="003F70E3"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lastRenderedPageBreak/>
        <w:t>45</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w:t>
      </w:r>
      <w:r w:rsidR="003F70E3" w:rsidRPr="007860B5">
        <w:rPr>
          <w:rFonts w:ascii="Times New Roman" w:hAnsi="Times New Roman" w:cs="Times New Roman"/>
          <w:bCs/>
          <w:sz w:val="24"/>
          <w:szCs w:val="24"/>
          <w:lang w:val="en-GB"/>
        </w:rPr>
        <w:t>NBM shall periodically, and at least every five years, review the quality of the loss data of a bank that calculates an annual operational risk loss in accordance with paragraph 16. NBM shall carry out such review at least every three years for a bank with a business indicator that exceeds MDL 1 billion.</w:t>
      </w:r>
    </w:p>
    <w:p w14:paraId="46FBAB1A" w14:textId="0112274F" w:rsidR="00264BF6" w:rsidRPr="007860B5" w:rsidRDefault="003F70E3" w:rsidP="00264BF6">
      <w:pPr>
        <w:rPr>
          <w:rFonts w:ascii="Times New Roman" w:hAnsi="Times New Roman" w:cs="Times New Roman"/>
          <w:b/>
          <w:bCs/>
          <w:sz w:val="24"/>
          <w:szCs w:val="24"/>
          <w:lang w:val="en-GB"/>
        </w:rPr>
      </w:pPr>
      <w:bookmarkStart w:id="17" w:name="_Hlk193372248"/>
      <w:r w:rsidRPr="007860B5">
        <w:rPr>
          <w:rFonts w:ascii="Times New Roman" w:hAnsi="Times New Roman" w:cs="Times New Roman"/>
          <w:b/>
          <w:bCs/>
          <w:sz w:val="24"/>
          <w:szCs w:val="24"/>
          <w:lang w:val="en-GB"/>
        </w:rPr>
        <w:t>Section</w:t>
      </w:r>
      <w:r w:rsidR="00264BF6" w:rsidRPr="007860B5">
        <w:rPr>
          <w:rFonts w:ascii="Times New Roman" w:hAnsi="Times New Roman" w:cs="Times New Roman"/>
          <w:b/>
          <w:bCs/>
          <w:sz w:val="24"/>
          <w:szCs w:val="24"/>
          <w:lang w:val="en-GB"/>
        </w:rPr>
        <w:t xml:space="preserve"> 8.</w:t>
      </w:r>
      <w:r w:rsidR="00264BF6" w:rsidRPr="007860B5" w:rsidDel="00707DAF">
        <w:rPr>
          <w:rFonts w:ascii="Times New Roman" w:hAnsi="Times New Roman" w:cs="Times New Roman"/>
          <w:bCs/>
          <w:i/>
          <w:iCs/>
          <w:sz w:val="24"/>
          <w:szCs w:val="24"/>
          <w:lang w:val="en-GB"/>
        </w:rPr>
        <w:t xml:space="preserve"> </w:t>
      </w:r>
      <w:r w:rsidRPr="007860B5">
        <w:rPr>
          <w:rFonts w:ascii="Times New Roman" w:hAnsi="Times New Roman" w:cs="Times New Roman"/>
          <w:b/>
          <w:bCs/>
          <w:sz w:val="24"/>
          <w:szCs w:val="24"/>
          <w:lang w:val="en-GB"/>
        </w:rPr>
        <w:t>Operational risk management framework</w:t>
      </w:r>
    </w:p>
    <w:bookmarkEnd w:id="17"/>
    <w:p w14:paraId="3FDFEFAB" w14:textId="124D3BF9" w:rsidR="00264BF6" w:rsidRPr="007860B5" w:rsidRDefault="00CC7688" w:rsidP="00594581">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46</w:t>
      </w:r>
      <w:r w:rsidR="00264BF6" w:rsidRPr="007860B5">
        <w:rPr>
          <w:rFonts w:ascii="Times New Roman" w:hAnsi="Times New Roman" w:cs="Times New Roman"/>
          <w:b/>
          <w:sz w:val="24"/>
          <w:szCs w:val="24"/>
          <w:lang w:val="en-GB"/>
        </w:rPr>
        <w:t>.</w:t>
      </w:r>
      <w:r w:rsidR="00264BF6" w:rsidRPr="007860B5">
        <w:rPr>
          <w:rFonts w:ascii="Times New Roman" w:hAnsi="Times New Roman" w:cs="Times New Roman"/>
          <w:bCs/>
          <w:sz w:val="24"/>
          <w:szCs w:val="24"/>
          <w:lang w:val="en-GB"/>
        </w:rPr>
        <w:t>   </w:t>
      </w:r>
      <w:r w:rsidR="00DA6822" w:rsidRPr="007860B5">
        <w:rPr>
          <w:rFonts w:ascii="Times New Roman" w:hAnsi="Times New Roman" w:cs="Times New Roman"/>
          <w:bCs/>
          <w:sz w:val="24"/>
          <w:szCs w:val="24"/>
          <w:lang w:val="en-GB"/>
        </w:rPr>
        <w:t>Subject to the provisions of the Regulation on Banking Activity Management Framework, approved by Decision No 322/2018 of the Executive Board of the National Bank of Moldova, banks shall have:</w:t>
      </w:r>
    </w:p>
    <w:p w14:paraId="502E35F0" w14:textId="02899808" w:rsidR="00DA6822"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 xml:space="preserve">.1. </w:t>
      </w:r>
      <w:r w:rsidR="00DA6822" w:rsidRPr="007860B5">
        <w:rPr>
          <w:rFonts w:ascii="Times New Roman" w:hAnsi="Times New Roman" w:cs="Times New Roman"/>
          <w:bCs/>
          <w:sz w:val="24"/>
          <w:szCs w:val="24"/>
          <w:lang w:val="en-GB"/>
        </w:rPr>
        <w:t>a well-documented assessment and management system for operational risk which is closely integrated into day-to-day risk management processes, forms an integral part of the process of monitoring and controlling the bank’s operational risk profile, and for which clear responsibilities have been assigned; the assessment and management system for operational risk shall identify the bank’s exposures to operational risk and track relevant operational risk data, including material loss data;</w:t>
      </w:r>
    </w:p>
    <w:p w14:paraId="78FCEFD2" w14:textId="3F3F8051"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.2. </w:t>
      </w:r>
      <w:r w:rsidR="00DA6822" w:rsidRPr="007860B5">
        <w:rPr>
          <w:rFonts w:ascii="Times New Roman" w:hAnsi="Times New Roman" w:cs="Times New Roman"/>
          <w:bCs/>
          <w:sz w:val="24"/>
          <w:szCs w:val="24"/>
          <w:lang w:val="en-GB"/>
        </w:rPr>
        <w:t xml:space="preserve">an operational risk management function that is independent from the bank’s business and operational </w:t>
      </w:r>
      <w:proofErr w:type="gramStart"/>
      <w:r w:rsidR="00DA6822" w:rsidRPr="007860B5">
        <w:rPr>
          <w:rFonts w:ascii="Times New Roman" w:hAnsi="Times New Roman" w:cs="Times New Roman"/>
          <w:bCs/>
          <w:sz w:val="24"/>
          <w:szCs w:val="24"/>
          <w:lang w:val="en-GB"/>
        </w:rPr>
        <w:t>units</w:t>
      </w:r>
      <w:r w:rsidR="00264BF6" w:rsidRPr="007860B5">
        <w:rPr>
          <w:rFonts w:ascii="Times New Roman" w:hAnsi="Times New Roman" w:cs="Times New Roman"/>
          <w:bCs/>
          <w:sz w:val="24"/>
          <w:szCs w:val="24"/>
          <w:lang w:val="en-GB"/>
        </w:rPr>
        <w:t>;</w:t>
      </w:r>
      <w:proofErr w:type="gramEnd"/>
    </w:p>
    <w:p w14:paraId="0EBB3EC1" w14:textId="4FA4C2BF" w:rsidR="003E680E"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.3. </w:t>
      </w:r>
      <w:r w:rsidR="003E680E" w:rsidRPr="007860B5">
        <w:rPr>
          <w:rFonts w:ascii="Times New Roman" w:hAnsi="Times New Roman" w:cs="Times New Roman"/>
          <w:bCs/>
          <w:sz w:val="24"/>
          <w:szCs w:val="24"/>
          <w:lang w:val="en-GB"/>
        </w:rPr>
        <w:t xml:space="preserve">a system of reporting to senior management that provides operational risk reports to relevant functions within the </w:t>
      </w:r>
      <w:proofErr w:type="gramStart"/>
      <w:r w:rsidR="008D5D72" w:rsidRPr="007860B5">
        <w:rPr>
          <w:rFonts w:ascii="Times New Roman" w:hAnsi="Times New Roman" w:cs="Times New Roman"/>
          <w:bCs/>
          <w:sz w:val="24"/>
          <w:szCs w:val="24"/>
          <w:lang w:val="en-GB"/>
        </w:rPr>
        <w:t>bank;</w:t>
      </w:r>
      <w:proofErr w:type="gramEnd"/>
    </w:p>
    <w:p w14:paraId="1FEB54E8" w14:textId="2C3EFC10"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.4. </w:t>
      </w:r>
      <w:r w:rsidR="008D5D72" w:rsidRPr="007860B5">
        <w:rPr>
          <w:rFonts w:ascii="Times New Roman" w:hAnsi="Times New Roman" w:cs="Times New Roman"/>
          <w:bCs/>
          <w:sz w:val="24"/>
          <w:szCs w:val="24"/>
          <w:lang w:val="en-GB"/>
        </w:rPr>
        <w:t xml:space="preserve">a system of regular monitoring and reporting of operational risk exposures and loss experience, and procedures for taking appropriate corrective </w:t>
      </w:r>
      <w:proofErr w:type="gramStart"/>
      <w:r w:rsidR="008D5D72" w:rsidRPr="007860B5">
        <w:rPr>
          <w:rFonts w:ascii="Times New Roman" w:hAnsi="Times New Roman" w:cs="Times New Roman"/>
          <w:bCs/>
          <w:sz w:val="24"/>
          <w:szCs w:val="24"/>
          <w:lang w:val="en-GB"/>
        </w:rPr>
        <w:t>actions</w:t>
      </w:r>
      <w:r w:rsidR="00264BF6" w:rsidRPr="007860B5">
        <w:rPr>
          <w:rFonts w:ascii="Times New Roman" w:hAnsi="Times New Roman" w:cs="Times New Roman"/>
          <w:bCs/>
          <w:sz w:val="24"/>
          <w:szCs w:val="24"/>
          <w:lang w:val="en-GB"/>
        </w:rPr>
        <w:t>;</w:t>
      </w:r>
      <w:proofErr w:type="gramEnd"/>
    </w:p>
    <w:p w14:paraId="2224FCE2" w14:textId="08166789"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.5. </w:t>
      </w:r>
      <w:r w:rsidR="008D5D72" w:rsidRPr="007860B5">
        <w:rPr>
          <w:rFonts w:ascii="Times New Roman" w:hAnsi="Times New Roman" w:cs="Times New Roman"/>
          <w:bCs/>
          <w:sz w:val="24"/>
          <w:szCs w:val="24"/>
          <w:lang w:val="en-GB"/>
        </w:rPr>
        <w:t xml:space="preserve">routines for ensuring compliance, and policies for the treatment of </w:t>
      </w:r>
      <w:proofErr w:type="gramStart"/>
      <w:r w:rsidR="008D5D72" w:rsidRPr="007860B5">
        <w:rPr>
          <w:rFonts w:ascii="Times New Roman" w:hAnsi="Times New Roman" w:cs="Times New Roman"/>
          <w:bCs/>
          <w:sz w:val="24"/>
          <w:szCs w:val="24"/>
          <w:lang w:val="en-GB"/>
        </w:rPr>
        <w:t>non-compliance</w:t>
      </w:r>
      <w:r w:rsidR="00264BF6" w:rsidRPr="007860B5">
        <w:rPr>
          <w:rFonts w:ascii="Times New Roman" w:hAnsi="Times New Roman" w:cs="Times New Roman"/>
          <w:bCs/>
          <w:sz w:val="24"/>
          <w:szCs w:val="24"/>
          <w:lang w:val="en-GB"/>
        </w:rPr>
        <w:t>;</w:t>
      </w:r>
      <w:proofErr w:type="gramEnd"/>
    </w:p>
    <w:p w14:paraId="00063136" w14:textId="4F5B8997"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.6. </w:t>
      </w:r>
      <w:r w:rsidR="008D5D72" w:rsidRPr="007860B5">
        <w:rPr>
          <w:rFonts w:ascii="Times New Roman" w:hAnsi="Times New Roman" w:cs="Times New Roman"/>
          <w:bCs/>
          <w:sz w:val="24"/>
          <w:szCs w:val="24"/>
          <w:lang w:val="en-GB"/>
        </w:rPr>
        <w:t xml:space="preserve">regular reviews of the bank’s operational risk assessment and management processes and systems, carried out by internal or external auditors that possess the necessary </w:t>
      </w:r>
      <w:proofErr w:type="gramStart"/>
      <w:r w:rsidR="008D5D72" w:rsidRPr="007860B5">
        <w:rPr>
          <w:rFonts w:ascii="Times New Roman" w:hAnsi="Times New Roman" w:cs="Times New Roman"/>
          <w:bCs/>
          <w:sz w:val="24"/>
          <w:szCs w:val="24"/>
          <w:lang w:val="en-GB"/>
        </w:rPr>
        <w:t>knowledge</w:t>
      </w:r>
      <w:r w:rsidR="00264BF6" w:rsidRPr="007860B5">
        <w:rPr>
          <w:rFonts w:ascii="Times New Roman" w:hAnsi="Times New Roman" w:cs="Times New Roman"/>
          <w:bCs/>
          <w:sz w:val="24"/>
          <w:szCs w:val="24"/>
          <w:lang w:val="en-GB"/>
        </w:rPr>
        <w:t>;</w:t>
      </w:r>
      <w:proofErr w:type="gramEnd"/>
    </w:p>
    <w:p w14:paraId="089AA68F" w14:textId="197E5474"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.7. </w:t>
      </w:r>
      <w:r w:rsidR="008D5D72" w:rsidRPr="007860B5">
        <w:rPr>
          <w:rFonts w:ascii="Times New Roman" w:hAnsi="Times New Roman" w:cs="Times New Roman"/>
          <w:bCs/>
          <w:sz w:val="24"/>
          <w:szCs w:val="24"/>
          <w:lang w:val="en-GB"/>
        </w:rPr>
        <w:t xml:space="preserve">internal validation processes that operate in a sound and effective </w:t>
      </w:r>
      <w:proofErr w:type="gramStart"/>
      <w:r w:rsidR="008D5D72" w:rsidRPr="007860B5">
        <w:rPr>
          <w:rFonts w:ascii="Times New Roman" w:hAnsi="Times New Roman" w:cs="Times New Roman"/>
          <w:bCs/>
          <w:sz w:val="24"/>
          <w:szCs w:val="24"/>
          <w:lang w:val="en-GB"/>
        </w:rPr>
        <w:t>manner</w:t>
      </w:r>
      <w:r w:rsidR="00264BF6" w:rsidRPr="007860B5">
        <w:rPr>
          <w:rFonts w:ascii="Times New Roman" w:hAnsi="Times New Roman" w:cs="Times New Roman"/>
          <w:bCs/>
          <w:sz w:val="24"/>
          <w:szCs w:val="24"/>
          <w:lang w:val="en-GB"/>
        </w:rPr>
        <w:t>;</w:t>
      </w:r>
      <w:proofErr w:type="gramEnd"/>
    </w:p>
    <w:p w14:paraId="3D93E210" w14:textId="734EBE95" w:rsidR="00264BF6" w:rsidRPr="007860B5" w:rsidRDefault="00CC7688" w:rsidP="00264BF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46</w:t>
      </w:r>
      <w:r w:rsidR="00264BF6" w:rsidRPr="007860B5">
        <w:rPr>
          <w:rFonts w:ascii="Times New Roman" w:hAnsi="Times New Roman" w:cs="Times New Roman"/>
          <w:bCs/>
          <w:sz w:val="24"/>
          <w:szCs w:val="24"/>
          <w:lang w:val="en-GB"/>
        </w:rPr>
        <w:t>.8. </w:t>
      </w:r>
      <w:r w:rsidR="008D5D72" w:rsidRPr="007860B5">
        <w:rPr>
          <w:rFonts w:ascii="Times New Roman" w:hAnsi="Times New Roman" w:cs="Times New Roman"/>
          <w:bCs/>
          <w:sz w:val="24"/>
          <w:szCs w:val="24"/>
          <w:lang w:val="en-GB"/>
        </w:rPr>
        <w:t>transparent and accessible data flows and processes associated with the bank’s operational risk assessment system</w:t>
      </w:r>
      <w:r w:rsidR="00264BF6" w:rsidRPr="007860B5">
        <w:rPr>
          <w:rFonts w:ascii="Times New Roman" w:hAnsi="Times New Roman" w:cs="Times New Roman"/>
          <w:bCs/>
          <w:sz w:val="24"/>
          <w:szCs w:val="24"/>
          <w:lang w:val="en-GB"/>
        </w:rPr>
        <w:t>.</w:t>
      </w:r>
    </w:p>
    <w:p w14:paraId="4D6B760A" w14:textId="13936DCF" w:rsidR="00AB7DC9" w:rsidRPr="007860B5" w:rsidRDefault="008D5D72" w:rsidP="00AB7DC9">
      <w:pP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Section</w:t>
      </w:r>
      <w:r w:rsidR="00AB7DC9" w:rsidRPr="007860B5">
        <w:rPr>
          <w:rFonts w:ascii="Times New Roman" w:hAnsi="Times New Roman" w:cs="Times New Roman"/>
          <w:b/>
          <w:bCs/>
          <w:sz w:val="24"/>
          <w:szCs w:val="24"/>
          <w:lang w:val="en-GB"/>
        </w:rPr>
        <w:t xml:space="preserve"> 9.</w:t>
      </w:r>
      <w:r w:rsidR="00AB7DC9" w:rsidRPr="007860B5" w:rsidDel="00237886">
        <w:rPr>
          <w:rFonts w:ascii="Times New Roman" w:hAnsi="Times New Roman" w:cs="Times New Roman"/>
          <w:bCs/>
          <w:i/>
          <w:iCs/>
          <w:sz w:val="24"/>
          <w:szCs w:val="24"/>
          <w:lang w:val="en-GB"/>
        </w:rPr>
        <w:t xml:space="preserve"> </w:t>
      </w:r>
      <w:r w:rsidRPr="007860B5">
        <w:rPr>
          <w:rFonts w:ascii="Times New Roman" w:hAnsi="Times New Roman" w:cs="Times New Roman"/>
          <w:b/>
          <w:bCs/>
          <w:sz w:val="24"/>
          <w:szCs w:val="24"/>
          <w:lang w:val="en-GB"/>
        </w:rPr>
        <w:t>Loss event type classification</w:t>
      </w:r>
    </w:p>
    <w:p w14:paraId="4C0F0803" w14:textId="45FC944C" w:rsidR="00AB7DC9" w:rsidRPr="007860B5" w:rsidRDefault="00CC7688" w:rsidP="00AB7DC9">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47</w:t>
      </w:r>
      <w:r w:rsidR="00AB7DC9" w:rsidRPr="007860B5">
        <w:rPr>
          <w:rFonts w:ascii="Times New Roman" w:hAnsi="Times New Roman" w:cs="Times New Roman"/>
          <w:b/>
          <w:sz w:val="24"/>
          <w:szCs w:val="24"/>
          <w:lang w:val="en-GB"/>
        </w:rPr>
        <w:t>.</w:t>
      </w:r>
      <w:r w:rsidR="00AB7DC9" w:rsidRPr="007860B5">
        <w:rPr>
          <w:rFonts w:ascii="Times New Roman" w:hAnsi="Times New Roman" w:cs="Times New Roman"/>
          <w:bCs/>
          <w:sz w:val="24"/>
          <w:szCs w:val="24"/>
          <w:lang w:val="en-GB"/>
        </w:rPr>
        <w:t xml:space="preserve"> </w:t>
      </w:r>
      <w:r w:rsidR="008D5D72" w:rsidRPr="007860B5">
        <w:rPr>
          <w:rFonts w:ascii="Times New Roman" w:hAnsi="Times New Roman" w:cs="Times New Roman"/>
          <w:bCs/>
          <w:sz w:val="24"/>
          <w:szCs w:val="24"/>
          <w:lang w:val="en-GB"/>
        </w:rPr>
        <w:t xml:space="preserve">The loss </w:t>
      </w:r>
      <w:proofErr w:type="gramStart"/>
      <w:r w:rsidR="008D5D72" w:rsidRPr="007860B5">
        <w:rPr>
          <w:rFonts w:ascii="Times New Roman" w:hAnsi="Times New Roman" w:cs="Times New Roman"/>
          <w:bCs/>
          <w:sz w:val="24"/>
          <w:szCs w:val="24"/>
          <w:lang w:val="en-GB"/>
        </w:rPr>
        <w:t>events</w:t>
      </w:r>
      <w:proofErr w:type="gramEnd"/>
      <w:r w:rsidR="008D5D72" w:rsidRPr="007860B5">
        <w:rPr>
          <w:rFonts w:ascii="Times New Roman" w:hAnsi="Times New Roman" w:cs="Times New Roman"/>
          <w:bCs/>
          <w:sz w:val="24"/>
          <w:szCs w:val="24"/>
          <w:lang w:val="en-GB"/>
        </w:rPr>
        <w:t xml:space="preserve"> types referred to in paragraph 26 are the following:</w:t>
      </w:r>
    </w:p>
    <w:p w14:paraId="1E5BE51F" w14:textId="645AACC6" w:rsidR="00AB7DC9" w:rsidRPr="007860B5" w:rsidRDefault="00AB7DC9" w:rsidP="00AB7DC9">
      <w:pP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Tabl</w:t>
      </w:r>
      <w:r w:rsidR="00452C01" w:rsidRPr="007860B5">
        <w:rPr>
          <w:rFonts w:ascii="Times New Roman" w:hAnsi="Times New Roman" w:cs="Times New Roman"/>
          <w:b/>
          <w:bCs/>
          <w:sz w:val="24"/>
          <w:szCs w:val="24"/>
          <w:lang w:val="en-GB"/>
        </w:rPr>
        <w:t>e</w:t>
      </w:r>
    </w:p>
    <w:tbl>
      <w:tblPr>
        <w:tblW w:w="93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81"/>
        <w:gridCol w:w="7467"/>
      </w:tblGrid>
      <w:tr w:rsidR="00AB7DC9" w:rsidRPr="007860B5" w14:paraId="2B9AAC22"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18D42" w14:textId="705CCFF5" w:rsidR="00AB7DC9" w:rsidRPr="007860B5" w:rsidRDefault="00452C01" w:rsidP="00AB7DC9">
            <w:pP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Event-Type Category</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450342" w14:textId="7CB76AB3" w:rsidR="00AB7DC9" w:rsidRPr="007860B5" w:rsidRDefault="00452C01" w:rsidP="00AB7DC9">
            <w:pPr>
              <w:rPr>
                <w:rFonts w:ascii="Times New Roman" w:hAnsi="Times New Roman" w:cs="Times New Roman"/>
                <w:b/>
                <w:bCs/>
                <w:sz w:val="24"/>
                <w:szCs w:val="24"/>
                <w:lang w:val="en-GB"/>
              </w:rPr>
            </w:pPr>
            <w:r w:rsidRPr="007860B5">
              <w:rPr>
                <w:rFonts w:ascii="Times New Roman" w:hAnsi="Times New Roman" w:cs="Times New Roman"/>
                <w:b/>
                <w:bCs/>
                <w:sz w:val="24"/>
                <w:szCs w:val="24"/>
                <w:lang w:val="en-GB"/>
              </w:rPr>
              <w:t>Definition</w:t>
            </w:r>
          </w:p>
        </w:tc>
      </w:tr>
      <w:tr w:rsidR="00AB7DC9" w:rsidRPr="007860B5" w14:paraId="5BDB8D94"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CA4DD2" w14:textId="7B27E6F1" w:rsidR="00AB7DC9" w:rsidRPr="007860B5" w:rsidRDefault="00452C01"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Internal fraud</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185757" w14:textId="647305BB" w:rsidR="00AB7DC9" w:rsidRPr="007860B5" w:rsidRDefault="00452C01"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Losses due to acts of a type intended to defraud, misappropriate property or circumvent regulations, the law or bank policy, excluding diversity/discrimination events, which involves at least one internal party</w:t>
            </w:r>
          </w:p>
        </w:tc>
      </w:tr>
      <w:tr w:rsidR="00AB7DC9" w:rsidRPr="007860B5" w14:paraId="466D0CC9"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D352F7" w14:textId="42AE51DD" w:rsidR="00AB7DC9" w:rsidRPr="007860B5" w:rsidRDefault="00452C01"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External fraud</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228C4C" w14:textId="574DA31B"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Losses due to acts of a type intended to defraud, misappropriate property or circumvent the law, by a third party</w:t>
            </w:r>
          </w:p>
        </w:tc>
      </w:tr>
      <w:tr w:rsidR="00AB7DC9" w:rsidRPr="007860B5" w14:paraId="2298A095"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90584E" w14:textId="4B419138"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lastRenderedPageBreak/>
              <w:t>Employment Practices and Workplace Safety</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9887A6" w14:textId="42EB6CBE"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Losses arising from acts inconsistent with employment, health or safety laws or agreements, from payment of personal injury claims, or from diversity/discrimination events</w:t>
            </w:r>
          </w:p>
        </w:tc>
      </w:tr>
      <w:tr w:rsidR="00AB7DC9" w:rsidRPr="007860B5" w14:paraId="4D341A5F"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52D39" w14:textId="7ED8C426"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Clients, Products &amp; Business Practices</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B4CD47" w14:textId="7E81C35D" w:rsidR="00AB7DC9" w:rsidRPr="007860B5" w:rsidRDefault="00351EDE" w:rsidP="00351EDE">
            <w:pPr>
              <w:pStyle w:val="oj-tbl-txt"/>
              <w:spacing w:before="60" w:after="60" w:line="312" w:lineRule="atLeast"/>
              <w:rPr>
                <w:color w:val="333333"/>
                <w:lang w:val="en-GB"/>
              </w:rPr>
            </w:pPr>
            <w:r w:rsidRPr="007860B5">
              <w:rPr>
                <w:color w:val="000000" w:themeColor="text1"/>
                <w:lang w:val="en-GB"/>
              </w:rPr>
              <w:t>Losses arising from an unintentional or negligent failure to meet a professional obligation to specific clients (including fiduciary and suitability requirements), or from the nature or design of a product</w:t>
            </w:r>
          </w:p>
        </w:tc>
      </w:tr>
      <w:tr w:rsidR="00AB7DC9" w:rsidRPr="007860B5" w14:paraId="75970D7B"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498D5" w14:textId="60A9BFDD" w:rsidR="00AB7DC9" w:rsidRPr="007860B5" w:rsidRDefault="00351EDE" w:rsidP="00AB7DC9">
            <w:pPr>
              <w:rPr>
                <w:rFonts w:ascii="Times New Roman" w:hAnsi="Times New Roman" w:cs="Times New Roman"/>
                <w:bCs/>
                <w:color w:val="000000" w:themeColor="text1"/>
                <w:sz w:val="24"/>
                <w:szCs w:val="24"/>
                <w:lang w:val="en-GB"/>
              </w:rPr>
            </w:pPr>
            <w:r w:rsidRPr="007860B5">
              <w:rPr>
                <w:rFonts w:ascii="Times New Roman" w:hAnsi="Times New Roman" w:cs="Times New Roman"/>
                <w:bCs/>
                <w:color w:val="000000" w:themeColor="text1"/>
                <w:sz w:val="24"/>
                <w:szCs w:val="24"/>
                <w:lang w:val="en-GB"/>
              </w:rPr>
              <w:t>Damage to Physical Assets</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C819EA" w14:textId="3C307F7C" w:rsidR="00AB7DC9" w:rsidRPr="007860B5" w:rsidRDefault="00351EDE" w:rsidP="00351EDE">
            <w:pPr>
              <w:pStyle w:val="oj-tbl-txt"/>
              <w:spacing w:before="60" w:after="60" w:line="312" w:lineRule="atLeast"/>
              <w:rPr>
                <w:color w:val="000000" w:themeColor="text1"/>
                <w:lang w:val="en-GB"/>
              </w:rPr>
            </w:pPr>
            <w:r w:rsidRPr="007860B5">
              <w:rPr>
                <w:color w:val="000000" w:themeColor="text1"/>
                <w:lang w:val="en-GB"/>
              </w:rPr>
              <w:t>Losses arising from loss or damage to physical assets from natural disaster or other events</w:t>
            </w:r>
          </w:p>
        </w:tc>
      </w:tr>
      <w:tr w:rsidR="00AB7DC9" w:rsidRPr="007860B5" w14:paraId="6C671180" w14:textId="77777777" w:rsidTr="00AB7DC9">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ED220B" w14:textId="61E41A08"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Business disruption and system failures</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FCB4D" w14:textId="5CDC39B3" w:rsidR="00AB7DC9" w:rsidRPr="007860B5" w:rsidRDefault="00351EDE" w:rsidP="00351EDE">
            <w:pPr>
              <w:pStyle w:val="oj-tbl-txt"/>
              <w:spacing w:before="60" w:after="60" w:line="312" w:lineRule="atLeast"/>
              <w:rPr>
                <w:color w:val="333333"/>
                <w:lang w:val="en-GB"/>
              </w:rPr>
            </w:pPr>
            <w:r w:rsidRPr="007860B5">
              <w:rPr>
                <w:color w:val="000000" w:themeColor="text1"/>
                <w:lang w:val="en-GB"/>
              </w:rPr>
              <w:t>Losses arising from disruption of business or system failures</w:t>
            </w:r>
          </w:p>
        </w:tc>
      </w:tr>
      <w:tr w:rsidR="00AB7DC9" w:rsidRPr="007860B5" w14:paraId="7EF9EAB1" w14:textId="77777777" w:rsidTr="00AB7DC9">
        <w:trPr>
          <w:trHeight w:val="591"/>
        </w:trPr>
        <w:tc>
          <w:tcPr>
            <w:tcW w:w="188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17551C" w14:textId="49F1DF0E"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Execution, Delivery &amp; Process Management</w:t>
            </w:r>
          </w:p>
        </w:tc>
        <w:tc>
          <w:tcPr>
            <w:tcW w:w="74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8E585" w14:textId="3C467D69" w:rsidR="00AB7DC9" w:rsidRPr="007860B5" w:rsidRDefault="00351EDE" w:rsidP="00AB7DC9">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Losses from failed transaction processing or process management, from relations with trade counterparties and vendors</w:t>
            </w:r>
          </w:p>
        </w:tc>
      </w:tr>
    </w:tbl>
    <w:p w14:paraId="47CEC7AF" w14:textId="77777777" w:rsidR="00AB7DC9" w:rsidRPr="007860B5" w:rsidRDefault="00AB7DC9" w:rsidP="00AB7DC9">
      <w:pPr>
        <w:rPr>
          <w:rFonts w:ascii="Times New Roman" w:hAnsi="Times New Roman" w:cs="Times New Roman"/>
          <w:bCs/>
          <w:sz w:val="24"/>
          <w:szCs w:val="24"/>
          <w:lang w:val="en-GB"/>
        </w:rPr>
      </w:pPr>
    </w:p>
    <w:p w14:paraId="083A0999" w14:textId="3519FB56" w:rsidR="00874A11" w:rsidRPr="007860B5" w:rsidRDefault="00351EDE" w:rsidP="00055578">
      <w:pPr>
        <w:jc w:val="center"/>
        <w:rPr>
          <w:rFonts w:ascii="Times New Roman" w:hAnsi="Times New Roman" w:cs="Times New Roman"/>
          <w:b/>
          <w:sz w:val="24"/>
          <w:szCs w:val="24"/>
          <w:lang w:val="en-GB"/>
        </w:rPr>
      </w:pPr>
      <w:r w:rsidRPr="007860B5">
        <w:rPr>
          <w:rFonts w:ascii="Times New Roman" w:hAnsi="Times New Roman" w:cs="Times New Roman"/>
          <w:b/>
          <w:sz w:val="24"/>
          <w:szCs w:val="24"/>
          <w:lang w:val="en-GB"/>
        </w:rPr>
        <w:t xml:space="preserve">CHAPTER </w:t>
      </w:r>
      <w:r w:rsidR="00874A11" w:rsidRPr="007860B5">
        <w:rPr>
          <w:rFonts w:ascii="Times New Roman" w:hAnsi="Times New Roman" w:cs="Times New Roman"/>
          <w:b/>
          <w:sz w:val="24"/>
          <w:szCs w:val="24"/>
          <w:lang w:val="en-GB"/>
        </w:rPr>
        <w:t>IV</w:t>
      </w:r>
    </w:p>
    <w:p w14:paraId="7E5C16D9" w14:textId="59386E08" w:rsidR="00351EDE" w:rsidRPr="007860B5" w:rsidRDefault="00351EDE" w:rsidP="00351EDE">
      <w:pPr>
        <w:spacing w:after="0"/>
        <w:jc w:val="center"/>
        <w:rPr>
          <w:rFonts w:ascii="Times New Roman" w:hAnsi="Times New Roman" w:cs="Times New Roman"/>
          <w:b/>
          <w:sz w:val="24"/>
          <w:szCs w:val="24"/>
          <w:lang w:val="en-GB"/>
        </w:rPr>
      </w:pPr>
      <w:r w:rsidRPr="007860B5">
        <w:rPr>
          <w:rFonts w:ascii="Times New Roman" w:hAnsi="Times New Roman" w:cs="Times New Roman"/>
          <w:b/>
          <w:sz w:val="24"/>
          <w:szCs w:val="24"/>
          <w:lang w:val="en-GB"/>
        </w:rPr>
        <w:t>PROCEDURE FOR THE ISSUANCE BY THE NATIONAL BANK OF MOLDOVA</w:t>
      </w:r>
    </w:p>
    <w:p w14:paraId="5A23B6E6" w14:textId="2DE58552" w:rsidR="00A336C6" w:rsidRPr="007860B5" w:rsidRDefault="00351EDE" w:rsidP="00351EDE">
      <w:pPr>
        <w:spacing w:after="0"/>
        <w:jc w:val="center"/>
        <w:rPr>
          <w:rFonts w:ascii="Times New Roman" w:hAnsi="Times New Roman" w:cs="Times New Roman"/>
          <w:b/>
          <w:sz w:val="24"/>
          <w:szCs w:val="24"/>
          <w:lang w:val="en-GB"/>
        </w:rPr>
      </w:pPr>
      <w:r w:rsidRPr="007860B5">
        <w:rPr>
          <w:rFonts w:ascii="Times New Roman" w:hAnsi="Times New Roman" w:cs="Times New Roman"/>
          <w:b/>
          <w:sz w:val="24"/>
          <w:szCs w:val="24"/>
          <w:lang w:val="en-GB"/>
        </w:rPr>
        <w:t>OF PRELIMINARY APPROVALS RELATED TO THE OWN FUNDS REQUIREMENT FOR OPERATIONAL RISK</w:t>
      </w:r>
    </w:p>
    <w:p w14:paraId="3383F182" w14:textId="77777777" w:rsidR="00055578" w:rsidRPr="007860B5" w:rsidRDefault="00055578" w:rsidP="00874A11">
      <w:pPr>
        <w:rPr>
          <w:rFonts w:ascii="Times New Roman" w:hAnsi="Times New Roman" w:cs="Times New Roman"/>
          <w:b/>
          <w:sz w:val="24"/>
          <w:szCs w:val="24"/>
          <w:lang w:val="en-GB"/>
        </w:rPr>
      </w:pPr>
    </w:p>
    <w:p w14:paraId="6EABE802" w14:textId="75971446" w:rsidR="00A336C6" w:rsidRPr="007860B5" w:rsidRDefault="00CC7688" w:rsidP="00874A11">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48</w:t>
      </w:r>
      <w:r w:rsidR="00A336C6" w:rsidRPr="007860B5">
        <w:rPr>
          <w:rFonts w:ascii="Times New Roman" w:hAnsi="Times New Roman" w:cs="Times New Roman"/>
          <w:b/>
          <w:sz w:val="24"/>
          <w:szCs w:val="24"/>
          <w:lang w:val="en-GB"/>
        </w:rPr>
        <w:t xml:space="preserve">. </w:t>
      </w:r>
      <w:r w:rsidR="007860B5" w:rsidRPr="007860B5">
        <w:rPr>
          <w:rFonts w:ascii="Times New Roman" w:hAnsi="Times New Roman" w:cs="Times New Roman"/>
          <w:bCs/>
          <w:sz w:val="24"/>
          <w:szCs w:val="24"/>
          <w:lang w:val="en-GB"/>
        </w:rPr>
        <w:t>This chapter applies to prior approvals issued by the NBM in accordance with paragraphs 15 and 40. For the issuance of prior approval, the bank shall submit to the NBM an application accompanied by documents and information confirming the bank's compliance with the conditions set out in the respective paragraphs</w:t>
      </w:r>
      <w:r w:rsidR="00A336C6" w:rsidRPr="007860B5">
        <w:rPr>
          <w:rFonts w:ascii="Times New Roman" w:hAnsi="Times New Roman" w:cs="Times New Roman"/>
          <w:bCs/>
          <w:sz w:val="24"/>
          <w:szCs w:val="24"/>
          <w:lang w:val="en-GB"/>
        </w:rPr>
        <w:t>.</w:t>
      </w:r>
    </w:p>
    <w:p w14:paraId="77937A74" w14:textId="1FFE2F76" w:rsidR="00A336C6" w:rsidRPr="007860B5" w:rsidRDefault="00CC7688" w:rsidP="00874A11">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49</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Applications for the issuance of prior approvals issued by the NBM in accordance with paragraphs 15 and 40, as well as documents and information confirming the bank's compliance with the conditions set out in those paragraphs, shall be submitted to the NBM in Romanian and signed by the person authorised by the bank</w:t>
      </w:r>
      <w:r w:rsidR="00A336C6" w:rsidRPr="007860B5">
        <w:rPr>
          <w:rFonts w:ascii="Times New Roman" w:hAnsi="Times New Roman" w:cs="Times New Roman"/>
          <w:bCs/>
          <w:sz w:val="24"/>
          <w:szCs w:val="24"/>
          <w:lang w:val="en-GB"/>
        </w:rPr>
        <w:t>.</w:t>
      </w:r>
    </w:p>
    <w:p w14:paraId="61215DB1" w14:textId="784AB58C" w:rsidR="00A336C6" w:rsidRPr="007860B5" w:rsidRDefault="00CC7688" w:rsidP="00874A11">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50</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If the documents and/or information submitted by the bank do not comply with paragraphs 48 and 49, the NBM shall notify the bank in written form within 5 business days from the date of submission of the request. The bank shall, within 10 working days from the date of receipt of the NBM letter, complete and submit to the NBM the missing documents and/or information</w:t>
      </w:r>
      <w:r w:rsidR="00A336C6" w:rsidRPr="007860B5">
        <w:rPr>
          <w:rFonts w:ascii="Times New Roman" w:hAnsi="Times New Roman" w:cs="Times New Roman"/>
          <w:bCs/>
          <w:sz w:val="24"/>
          <w:szCs w:val="24"/>
          <w:lang w:val="en-GB"/>
        </w:rPr>
        <w:t>.</w:t>
      </w:r>
    </w:p>
    <w:p w14:paraId="2505F5FC" w14:textId="2520D5F4"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51</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If the bank fails to complete the set of documents and information within the time limit specified in paragraph 50, the NBM shall inform the bank of the termination of the administrative procedure within 3 working days of the expiry of the time limit granted</w:t>
      </w:r>
      <w:r w:rsidR="00A336C6" w:rsidRPr="007860B5">
        <w:rPr>
          <w:rFonts w:ascii="Times New Roman" w:hAnsi="Times New Roman" w:cs="Times New Roman"/>
          <w:bCs/>
          <w:sz w:val="24"/>
          <w:szCs w:val="24"/>
          <w:lang w:val="en-GB"/>
        </w:rPr>
        <w:t>.</w:t>
      </w:r>
    </w:p>
    <w:p w14:paraId="70BA7C24" w14:textId="10D5A1DD"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52</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Within 60 business days of receiving the complete set of documents and information in accordance with this chapter, the NBM shall issue the appropriate prior approval or reject the application, informing the bank in written form of its decision. If further examination is required or more time is needed to process the information and documents, the deadline may be extended by a maximum of 30 working days, with notification to the bank</w:t>
      </w:r>
      <w:r w:rsidR="00A336C6" w:rsidRPr="007860B5">
        <w:rPr>
          <w:rFonts w:ascii="Times New Roman" w:hAnsi="Times New Roman" w:cs="Times New Roman"/>
          <w:bCs/>
          <w:sz w:val="24"/>
          <w:szCs w:val="24"/>
          <w:lang w:val="en-GB"/>
        </w:rPr>
        <w:t>.</w:t>
      </w:r>
    </w:p>
    <w:p w14:paraId="3D3968BD" w14:textId="6E1CE368"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lastRenderedPageBreak/>
        <w:t>53</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 xml:space="preserve">If the documents and information submitted in accordance with this chapter are insufficient to </w:t>
      </w:r>
      <w:proofErr w:type="gramStart"/>
      <w:r w:rsidR="007860B5" w:rsidRPr="007860B5">
        <w:rPr>
          <w:rFonts w:ascii="Times New Roman" w:hAnsi="Times New Roman" w:cs="Times New Roman"/>
          <w:bCs/>
          <w:sz w:val="24"/>
          <w:szCs w:val="24"/>
          <w:lang w:val="en-GB"/>
        </w:rPr>
        <w:t>make a decision</w:t>
      </w:r>
      <w:proofErr w:type="gramEnd"/>
      <w:r w:rsidR="007860B5" w:rsidRPr="007860B5">
        <w:rPr>
          <w:rFonts w:ascii="Times New Roman" w:hAnsi="Times New Roman" w:cs="Times New Roman"/>
          <w:bCs/>
          <w:sz w:val="24"/>
          <w:szCs w:val="24"/>
          <w:lang w:val="en-GB"/>
        </w:rPr>
        <w:t xml:space="preserve"> on the request for prior approval in the context of paragraph 48, the NBM shall be entitled to request the submission of additional documents and information</w:t>
      </w:r>
      <w:r w:rsidR="00A336C6" w:rsidRPr="007860B5">
        <w:rPr>
          <w:rFonts w:ascii="Times New Roman" w:hAnsi="Times New Roman" w:cs="Times New Roman"/>
          <w:bCs/>
          <w:sz w:val="24"/>
          <w:szCs w:val="24"/>
          <w:lang w:val="en-GB"/>
        </w:rPr>
        <w:t>.</w:t>
      </w:r>
    </w:p>
    <w:p w14:paraId="5E73F7A5" w14:textId="3A8FA762"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54</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The bank is required to submit the additional information and documents within the timeframe specified by the NBM, during which the timeframe specified in paragraph 52 is suspended</w:t>
      </w:r>
      <w:r w:rsidR="00A336C6" w:rsidRPr="007860B5">
        <w:rPr>
          <w:rFonts w:ascii="Times New Roman" w:hAnsi="Times New Roman" w:cs="Times New Roman"/>
          <w:bCs/>
          <w:sz w:val="24"/>
          <w:szCs w:val="24"/>
          <w:lang w:val="en-GB"/>
        </w:rPr>
        <w:t>.</w:t>
      </w:r>
    </w:p>
    <w:p w14:paraId="21F05EBE" w14:textId="5ED15A46"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55</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If the application for prior approval is rejected, the grounds for rejection shall be indicated. The following shall be considered grounds for rejecting an application for prior approval by the NBM</w:t>
      </w:r>
      <w:r w:rsidR="00A336C6" w:rsidRPr="007860B5">
        <w:rPr>
          <w:rFonts w:ascii="Times New Roman" w:hAnsi="Times New Roman" w:cs="Times New Roman"/>
          <w:bCs/>
          <w:sz w:val="24"/>
          <w:szCs w:val="24"/>
          <w:lang w:val="en-GB"/>
        </w:rPr>
        <w:t>:</w:t>
      </w:r>
    </w:p>
    <w:p w14:paraId="1D6F64C9" w14:textId="40ABD2CA"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55</w:t>
      </w:r>
      <w:r w:rsidR="00A336C6" w:rsidRPr="007860B5">
        <w:rPr>
          <w:rFonts w:ascii="Times New Roman" w:hAnsi="Times New Roman" w:cs="Times New Roman"/>
          <w:bCs/>
          <w:sz w:val="24"/>
          <w:szCs w:val="24"/>
          <w:lang w:val="en-GB"/>
        </w:rPr>
        <w:t xml:space="preserve">.1. </w:t>
      </w:r>
      <w:r w:rsidR="007860B5" w:rsidRPr="007860B5">
        <w:rPr>
          <w:rFonts w:ascii="Times New Roman" w:hAnsi="Times New Roman" w:cs="Times New Roman"/>
          <w:bCs/>
          <w:sz w:val="24"/>
          <w:szCs w:val="24"/>
          <w:lang w:val="en-GB"/>
        </w:rPr>
        <w:t>failure to meet the conditions set for obtaining the relevant prior approval, as applicable, and/or</w:t>
      </w:r>
    </w:p>
    <w:p w14:paraId="557A2A9E" w14:textId="2D1D5A92"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55</w:t>
      </w:r>
      <w:r w:rsidR="00A336C6" w:rsidRPr="007860B5">
        <w:rPr>
          <w:rFonts w:ascii="Times New Roman" w:hAnsi="Times New Roman" w:cs="Times New Roman"/>
          <w:bCs/>
          <w:sz w:val="24"/>
          <w:szCs w:val="24"/>
          <w:lang w:val="en-GB"/>
        </w:rPr>
        <w:t xml:space="preserve">.2. </w:t>
      </w:r>
      <w:r w:rsidR="007860B5" w:rsidRPr="007860B5">
        <w:rPr>
          <w:rFonts w:ascii="Times New Roman" w:hAnsi="Times New Roman" w:cs="Times New Roman"/>
          <w:bCs/>
          <w:sz w:val="24"/>
          <w:szCs w:val="24"/>
          <w:lang w:val="en-GB"/>
        </w:rPr>
        <w:t xml:space="preserve">submission of erroneous, inauthentic, and/or contradictory information to the </w:t>
      </w:r>
      <w:proofErr w:type="gramStart"/>
      <w:r w:rsidR="007860B5" w:rsidRPr="007860B5">
        <w:rPr>
          <w:rFonts w:ascii="Times New Roman" w:hAnsi="Times New Roman" w:cs="Times New Roman"/>
          <w:bCs/>
          <w:sz w:val="24"/>
          <w:szCs w:val="24"/>
          <w:lang w:val="en-GB"/>
        </w:rPr>
        <w:t>NBM</w:t>
      </w:r>
      <w:r w:rsidR="00A336C6" w:rsidRPr="007860B5">
        <w:rPr>
          <w:rFonts w:ascii="Times New Roman" w:hAnsi="Times New Roman" w:cs="Times New Roman"/>
          <w:bCs/>
          <w:sz w:val="24"/>
          <w:szCs w:val="24"/>
          <w:lang w:val="en-GB"/>
        </w:rPr>
        <w:t>;</w:t>
      </w:r>
      <w:proofErr w:type="gramEnd"/>
    </w:p>
    <w:p w14:paraId="4AC1C0B2" w14:textId="73166904"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Cs/>
          <w:sz w:val="24"/>
          <w:szCs w:val="24"/>
          <w:lang w:val="en-GB"/>
        </w:rPr>
        <w:t>55</w:t>
      </w:r>
      <w:r w:rsidR="00A336C6" w:rsidRPr="007860B5">
        <w:rPr>
          <w:rFonts w:ascii="Times New Roman" w:hAnsi="Times New Roman" w:cs="Times New Roman"/>
          <w:bCs/>
          <w:sz w:val="24"/>
          <w:szCs w:val="24"/>
          <w:lang w:val="en-GB"/>
        </w:rPr>
        <w:t xml:space="preserve">.3. </w:t>
      </w:r>
      <w:r w:rsidR="007860B5" w:rsidRPr="007860B5">
        <w:rPr>
          <w:rFonts w:ascii="Times New Roman" w:hAnsi="Times New Roman" w:cs="Times New Roman"/>
          <w:bCs/>
          <w:sz w:val="24"/>
          <w:szCs w:val="24"/>
          <w:lang w:val="en-GB"/>
        </w:rPr>
        <w:t>failure to submit documents and information confirming that the bank meets the conditions set for obtaining the respective prior approval</w:t>
      </w:r>
      <w:r w:rsidR="00A336C6" w:rsidRPr="007860B5">
        <w:rPr>
          <w:rFonts w:ascii="Times New Roman" w:hAnsi="Times New Roman" w:cs="Times New Roman"/>
          <w:bCs/>
          <w:sz w:val="24"/>
          <w:szCs w:val="24"/>
          <w:lang w:val="en-GB"/>
        </w:rPr>
        <w:t>.</w:t>
      </w:r>
    </w:p>
    <w:p w14:paraId="7BBB56DC" w14:textId="1A66CCE1" w:rsidR="00A336C6" w:rsidRPr="007860B5" w:rsidRDefault="00CC7688" w:rsidP="00A336C6">
      <w:pPr>
        <w:rPr>
          <w:rFonts w:ascii="Times New Roman" w:hAnsi="Times New Roman" w:cs="Times New Roman"/>
          <w:bCs/>
          <w:sz w:val="24"/>
          <w:szCs w:val="24"/>
          <w:lang w:val="en-GB"/>
        </w:rPr>
      </w:pPr>
      <w:r w:rsidRPr="007860B5">
        <w:rPr>
          <w:rFonts w:ascii="Times New Roman" w:hAnsi="Times New Roman" w:cs="Times New Roman"/>
          <w:b/>
          <w:sz w:val="24"/>
          <w:szCs w:val="24"/>
          <w:lang w:val="en-GB"/>
        </w:rPr>
        <w:t>56</w:t>
      </w:r>
      <w:r w:rsidR="00A336C6" w:rsidRPr="007860B5">
        <w:rPr>
          <w:rFonts w:ascii="Times New Roman" w:hAnsi="Times New Roman" w:cs="Times New Roman"/>
          <w:b/>
          <w:sz w:val="24"/>
          <w:szCs w:val="24"/>
          <w:lang w:val="en-GB"/>
        </w:rPr>
        <w:t>.</w:t>
      </w:r>
      <w:r w:rsidR="00A336C6" w:rsidRPr="007860B5">
        <w:rPr>
          <w:rFonts w:ascii="Times New Roman" w:hAnsi="Times New Roman" w:cs="Times New Roman"/>
          <w:bCs/>
          <w:sz w:val="24"/>
          <w:szCs w:val="24"/>
          <w:lang w:val="en-GB"/>
        </w:rPr>
        <w:t xml:space="preserve"> </w:t>
      </w:r>
      <w:r w:rsidR="007860B5" w:rsidRPr="007860B5">
        <w:rPr>
          <w:rFonts w:ascii="Times New Roman" w:hAnsi="Times New Roman" w:cs="Times New Roman"/>
          <w:bCs/>
          <w:sz w:val="24"/>
          <w:szCs w:val="24"/>
          <w:lang w:val="en-GB"/>
        </w:rPr>
        <w:t>The bank is entitled to apply the provisions set out in the prior approvals from the date of issue of the prior approval</w:t>
      </w:r>
      <w:r w:rsidR="00A336C6" w:rsidRPr="007860B5">
        <w:rPr>
          <w:rFonts w:ascii="Times New Roman" w:hAnsi="Times New Roman" w:cs="Times New Roman"/>
          <w:bCs/>
          <w:sz w:val="24"/>
          <w:szCs w:val="24"/>
          <w:lang w:val="en-GB"/>
        </w:rPr>
        <w:t>.</w:t>
      </w:r>
    </w:p>
    <w:sectPr w:rsidR="00A336C6" w:rsidRPr="007860B5">
      <w:headerReference w:type="even"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671C" w14:textId="77777777" w:rsidR="009039E1" w:rsidRDefault="009039E1" w:rsidP="004B5416">
      <w:pPr>
        <w:spacing w:after="0" w:line="240" w:lineRule="auto"/>
      </w:pPr>
      <w:r>
        <w:separator/>
      </w:r>
    </w:p>
  </w:endnote>
  <w:endnote w:type="continuationSeparator" w:id="0">
    <w:p w14:paraId="77AE6196" w14:textId="77777777" w:rsidR="009039E1" w:rsidRDefault="009039E1" w:rsidP="004B5416">
      <w:pPr>
        <w:spacing w:after="0" w:line="240" w:lineRule="auto"/>
      </w:pPr>
      <w:r>
        <w:continuationSeparator/>
      </w:r>
    </w:p>
  </w:endnote>
  <w:endnote w:type="continuationNotice" w:id="1">
    <w:p w14:paraId="4DC26F73" w14:textId="77777777" w:rsidR="009039E1" w:rsidRDefault="00903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4595" w14:textId="6D7233BC" w:rsidR="004B5416" w:rsidRDefault="004B5416">
    <w:pPr>
      <w:pStyle w:val="Footer"/>
    </w:pPr>
    <w:r>
      <w:rPr>
        <w:noProof/>
      </w:rPr>
      <mc:AlternateContent>
        <mc:Choice Requires="wps">
          <w:drawing>
            <wp:anchor distT="0" distB="0" distL="0" distR="0" simplePos="0" relativeHeight="251658243" behindDoc="0" locked="0" layoutInCell="1" allowOverlap="1" wp14:anchorId="5137B48C" wp14:editId="7FEE3B1D">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7289D3" w14:textId="681E7190"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7B48C"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7F7289D3" w14:textId="681E7190"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653946"/>
      <w:docPartObj>
        <w:docPartGallery w:val="Page Numbers (Bottom of Page)"/>
        <w:docPartUnique/>
      </w:docPartObj>
    </w:sdtPr>
    <w:sdtEndPr>
      <w:rPr>
        <w:noProof/>
      </w:rPr>
    </w:sdtEndPr>
    <w:sdtContent>
      <w:p w14:paraId="61A349F9" w14:textId="12D0F6EA" w:rsidR="00EA733B" w:rsidRDefault="00EA73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BBECF" w14:textId="5A9A0449" w:rsidR="004B5416" w:rsidRDefault="004B5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FE24" w14:textId="2F4056BD" w:rsidR="004B5416" w:rsidRDefault="004B5416">
    <w:pPr>
      <w:pStyle w:val="Footer"/>
    </w:pPr>
    <w:r>
      <w:rPr>
        <w:noProof/>
      </w:rPr>
      <mc:AlternateContent>
        <mc:Choice Requires="wps">
          <w:drawing>
            <wp:anchor distT="0" distB="0" distL="0" distR="0" simplePos="0" relativeHeight="251658242" behindDoc="0" locked="0" layoutInCell="1" allowOverlap="1" wp14:anchorId="524C6900" wp14:editId="5681FD82">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90C0C" w14:textId="1AFFEDD2"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C6900"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2A690C0C" w14:textId="1AFFEDD2" w:rsidR="004B5416" w:rsidRPr="004B5416" w:rsidRDefault="004B5416" w:rsidP="004B5416">
                    <w:pPr>
                      <w:spacing w:after="0"/>
                      <w:rPr>
                        <w:rFonts w:ascii="Calibri" w:eastAsia="Calibri" w:hAnsi="Calibri" w:cs="Calibri"/>
                        <w:noProof/>
                        <w:color w:val="000000"/>
                        <w:sz w:val="16"/>
                        <w:szCs w:val="16"/>
                      </w:rPr>
                    </w:pPr>
                    <w:r w:rsidRPr="004B5416">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097E" w14:textId="77777777" w:rsidR="009039E1" w:rsidRDefault="009039E1" w:rsidP="004B5416">
      <w:pPr>
        <w:spacing w:after="0" w:line="240" w:lineRule="auto"/>
      </w:pPr>
      <w:r>
        <w:separator/>
      </w:r>
    </w:p>
  </w:footnote>
  <w:footnote w:type="continuationSeparator" w:id="0">
    <w:p w14:paraId="27BBCBB8" w14:textId="77777777" w:rsidR="009039E1" w:rsidRDefault="009039E1" w:rsidP="004B5416">
      <w:pPr>
        <w:spacing w:after="0" w:line="240" w:lineRule="auto"/>
      </w:pPr>
      <w:r>
        <w:continuationSeparator/>
      </w:r>
    </w:p>
  </w:footnote>
  <w:footnote w:type="continuationNotice" w:id="1">
    <w:p w14:paraId="43EAD8DC" w14:textId="77777777" w:rsidR="009039E1" w:rsidRDefault="00903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CB07" w14:textId="3717EF75" w:rsidR="004B5416" w:rsidRDefault="004B5416">
    <w:pPr>
      <w:pStyle w:val="Header"/>
    </w:pPr>
    <w:r>
      <w:rPr>
        <w:noProof/>
      </w:rPr>
      <mc:AlternateContent>
        <mc:Choice Requires="wps">
          <w:drawing>
            <wp:anchor distT="0" distB="0" distL="0" distR="0" simplePos="0" relativeHeight="251658241" behindDoc="0" locked="0" layoutInCell="1" allowOverlap="1" wp14:anchorId="2C4A2995" wp14:editId="01781DF8">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7D67C" w14:textId="2ABC2E9C"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4A2995"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F07D67C" w14:textId="2ABC2E9C"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725" w14:textId="0716085E" w:rsidR="004B5416" w:rsidRDefault="004B5416">
    <w:pPr>
      <w:pStyle w:val="Header"/>
    </w:pPr>
    <w:r>
      <w:rPr>
        <w:noProof/>
      </w:rPr>
      <mc:AlternateContent>
        <mc:Choice Requires="wps">
          <w:drawing>
            <wp:anchor distT="0" distB="0" distL="0" distR="0" simplePos="0" relativeHeight="251658240" behindDoc="0" locked="0" layoutInCell="1" allowOverlap="1" wp14:anchorId="734BA8DB" wp14:editId="76C1F7A2">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EEBE0" w14:textId="205BAE0B"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4BA8DB" id="_x0000_t202" coordsize="21600,21600" o:spt="202" path="m,l,21600r21600,l21600,xe">
              <v:stroke joinstyle="miter"/>
              <v:path gradientshapeok="t" o:connecttype="rect"/>
            </v:shapetype>
            <v:shape id="Text Box 1"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4Mv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RG0lY3qXL3L0XPJmi3kevf1YZI76AVCLU3wW liczFgc1mtKBfkNNr+NtmGKG450lDaP5EHr54pvgYr1ORagly8LW7CyPrSNmEdDX7o05O6AekK4n GCXFinfg97XxT2/Xx4AUJGYivj2aA+yow8Tt8Gai0H/1U9X1Za9+Ag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ruDLw8CAAAh BAAADgAAAAAAAAAAAAAAAAAuAgAAZHJzL2Uyb0RvYy54bWxQSwECLQAUAAYACAAAACEAd1eEQtoA AAADAQAADwAAAAAAAAAAAAAAAABpBAAAZHJzL2Rvd25yZXYueG1sUEsFBgAAAAAEAAQA8wAAAHAF AAAAAA== " filled="f" stroked="f">
              <v:textbox style="mso-fit-shape-to-text:t" inset="0,15pt,20pt,0">
                <w:txbxContent>
                  <w:p w14:paraId="1E6EEBE0" w14:textId="205BAE0B" w:rsidR="004B5416" w:rsidRPr="004B5416" w:rsidRDefault="004B5416" w:rsidP="004B5416">
                    <w:pPr>
                      <w:spacing w:after="0"/>
                      <w:rPr>
                        <w:rFonts w:ascii="Calibri" w:eastAsia="Calibri" w:hAnsi="Calibri" w:cs="Calibri"/>
                        <w:noProof/>
                        <w:color w:val="000000"/>
                        <w:sz w:val="24"/>
                        <w:szCs w:val="24"/>
                      </w:rPr>
                    </w:pPr>
                    <w:r w:rsidRPr="004B5416">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91"/>
    <w:multiLevelType w:val="multilevel"/>
    <w:tmpl w:val="FE943D62"/>
    <w:lvl w:ilvl="0">
      <w:start w:val="1"/>
      <w:numFmt w:val="decimal"/>
      <w:lvlText w:val="%1."/>
      <w:lvlJc w:val="left"/>
      <w:pPr>
        <w:ind w:left="786"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78B46EB5"/>
    <w:multiLevelType w:val="hybridMultilevel"/>
    <w:tmpl w:val="7E82CD26"/>
    <w:lvl w:ilvl="0" w:tplc="C7745656">
      <w:start w:val="1"/>
      <w:numFmt w:val="decimal"/>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2" w15:restartNumberingAfterBreak="0">
    <w:nsid w:val="7E280A6F"/>
    <w:multiLevelType w:val="multilevel"/>
    <w:tmpl w:val="4DE6DA1C"/>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strik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37625705">
    <w:abstractNumId w:val="0"/>
  </w:num>
  <w:num w:numId="2" w16cid:durableId="1149983125">
    <w:abstractNumId w:val="1"/>
  </w:num>
  <w:num w:numId="3" w16cid:durableId="983197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F"/>
    <w:rsid w:val="00001289"/>
    <w:rsid w:val="00007BF3"/>
    <w:rsid w:val="00014B12"/>
    <w:rsid w:val="00016FDA"/>
    <w:rsid w:val="00021043"/>
    <w:rsid w:val="00030463"/>
    <w:rsid w:val="00030F81"/>
    <w:rsid w:val="000406B3"/>
    <w:rsid w:val="00045A03"/>
    <w:rsid w:val="00052541"/>
    <w:rsid w:val="00053197"/>
    <w:rsid w:val="0005498F"/>
    <w:rsid w:val="00055578"/>
    <w:rsid w:val="00061574"/>
    <w:rsid w:val="00062BEB"/>
    <w:rsid w:val="00063847"/>
    <w:rsid w:val="00064309"/>
    <w:rsid w:val="00064C14"/>
    <w:rsid w:val="00082984"/>
    <w:rsid w:val="00086542"/>
    <w:rsid w:val="00092FBA"/>
    <w:rsid w:val="000B7E34"/>
    <w:rsid w:val="000C15D2"/>
    <w:rsid w:val="000C189B"/>
    <w:rsid w:val="000C62BA"/>
    <w:rsid w:val="000C6525"/>
    <w:rsid w:val="000C65E4"/>
    <w:rsid w:val="000D1202"/>
    <w:rsid w:val="000E46C5"/>
    <w:rsid w:val="000F2415"/>
    <w:rsid w:val="00100128"/>
    <w:rsid w:val="00113DB5"/>
    <w:rsid w:val="001146E6"/>
    <w:rsid w:val="00121151"/>
    <w:rsid w:val="00123D52"/>
    <w:rsid w:val="001325ED"/>
    <w:rsid w:val="00141670"/>
    <w:rsid w:val="00153C2E"/>
    <w:rsid w:val="001552C3"/>
    <w:rsid w:val="00157CB5"/>
    <w:rsid w:val="00166A5A"/>
    <w:rsid w:val="00173950"/>
    <w:rsid w:val="00181985"/>
    <w:rsid w:val="00181B09"/>
    <w:rsid w:val="001845DF"/>
    <w:rsid w:val="001A3038"/>
    <w:rsid w:val="001B01E0"/>
    <w:rsid w:val="001B5C2A"/>
    <w:rsid w:val="001C4C99"/>
    <w:rsid w:val="001C617A"/>
    <w:rsid w:val="001C64D7"/>
    <w:rsid w:val="001C696E"/>
    <w:rsid w:val="001D73DF"/>
    <w:rsid w:val="001D7A01"/>
    <w:rsid w:val="001E45B9"/>
    <w:rsid w:val="001E65F2"/>
    <w:rsid w:val="001E7F09"/>
    <w:rsid w:val="001F154F"/>
    <w:rsid w:val="001F4AED"/>
    <w:rsid w:val="001F538A"/>
    <w:rsid w:val="00212D70"/>
    <w:rsid w:val="00213F3D"/>
    <w:rsid w:val="00217ADD"/>
    <w:rsid w:val="00222CE4"/>
    <w:rsid w:val="0023442A"/>
    <w:rsid w:val="00237516"/>
    <w:rsid w:val="002375BD"/>
    <w:rsid w:val="002417FD"/>
    <w:rsid w:val="002422C9"/>
    <w:rsid w:val="0024430C"/>
    <w:rsid w:val="00250793"/>
    <w:rsid w:val="00255620"/>
    <w:rsid w:val="00256845"/>
    <w:rsid w:val="00257981"/>
    <w:rsid w:val="00261F14"/>
    <w:rsid w:val="00263E29"/>
    <w:rsid w:val="00264190"/>
    <w:rsid w:val="00264BF6"/>
    <w:rsid w:val="00266F65"/>
    <w:rsid w:val="002A36E6"/>
    <w:rsid w:val="002A686E"/>
    <w:rsid w:val="002A7208"/>
    <w:rsid w:val="002A7427"/>
    <w:rsid w:val="002A7D86"/>
    <w:rsid w:val="002C3D3B"/>
    <w:rsid w:val="002D3AAE"/>
    <w:rsid w:val="002D53DD"/>
    <w:rsid w:val="002E3411"/>
    <w:rsid w:val="002F0F4E"/>
    <w:rsid w:val="00302AF6"/>
    <w:rsid w:val="00323F04"/>
    <w:rsid w:val="00330D47"/>
    <w:rsid w:val="00335739"/>
    <w:rsid w:val="003365EE"/>
    <w:rsid w:val="003423A3"/>
    <w:rsid w:val="00346613"/>
    <w:rsid w:val="003514DE"/>
    <w:rsid w:val="0035162D"/>
    <w:rsid w:val="00351EDE"/>
    <w:rsid w:val="00353C1D"/>
    <w:rsid w:val="0035587B"/>
    <w:rsid w:val="0036478D"/>
    <w:rsid w:val="003669D3"/>
    <w:rsid w:val="003730CF"/>
    <w:rsid w:val="00374B9E"/>
    <w:rsid w:val="00377367"/>
    <w:rsid w:val="0038002B"/>
    <w:rsid w:val="0038057F"/>
    <w:rsid w:val="003824DF"/>
    <w:rsid w:val="003876CD"/>
    <w:rsid w:val="0039161D"/>
    <w:rsid w:val="003A3EC4"/>
    <w:rsid w:val="003B401F"/>
    <w:rsid w:val="003B671C"/>
    <w:rsid w:val="003C3567"/>
    <w:rsid w:val="003C371A"/>
    <w:rsid w:val="003C3BA3"/>
    <w:rsid w:val="003C5C0D"/>
    <w:rsid w:val="003D0C13"/>
    <w:rsid w:val="003D4DFD"/>
    <w:rsid w:val="003D4FEB"/>
    <w:rsid w:val="003E1C85"/>
    <w:rsid w:val="003E26D3"/>
    <w:rsid w:val="003E680E"/>
    <w:rsid w:val="003E74E1"/>
    <w:rsid w:val="003F1690"/>
    <w:rsid w:val="003F1DF3"/>
    <w:rsid w:val="003F707F"/>
    <w:rsid w:val="003F70E3"/>
    <w:rsid w:val="00406297"/>
    <w:rsid w:val="004227A2"/>
    <w:rsid w:val="00423A8A"/>
    <w:rsid w:val="00425FBF"/>
    <w:rsid w:val="00435B5D"/>
    <w:rsid w:val="00443387"/>
    <w:rsid w:val="004444BE"/>
    <w:rsid w:val="00452C01"/>
    <w:rsid w:val="0045330B"/>
    <w:rsid w:val="004533CA"/>
    <w:rsid w:val="00454881"/>
    <w:rsid w:val="00455415"/>
    <w:rsid w:val="0045574A"/>
    <w:rsid w:val="00456A81"/>
    <w:rsid w:val="00463229"/>
    <w:rsid w:val="00463CBB"/>
    <w:rsid w:val="00470CEA"/>
    <w:rsid w:val="00480B56"/>
    <w:rsid w:val="00487A4A"/>
    <w:rsid w:val="00495082"/>
    <w:rsid w:val="00495DE2"/>
    <w:rsid w:val="00496887"/>
    <w:rsid w:val="004A5E9B"/>
    <w:rsid w:val="004B0F26"/>
    <w:rsid w:val="004B5416"/>
    <w:rsid w:val="004B7100"/>
    <w:rsid w:val="004C608B"/>
    <w:rsid w:val="004D0C08"/>
    <w:rsid w:val="004D0DF6"/>
    <w:rsid w:val="004D5488"/>
    <w:rsid w:val="004E6441"/>
    <w:rsid w:val="004E758E"/>
    <w:rsid w:val="004E7C8A"/>
    <w:rsid w:val="004F1D73"/>
    <w:rsid w:val="004F22A3"/>
    <w:rsid w:val="004F43AD"/>
    <w:rsid w:val="004F6EEA"/>
    <w:rsid w:val="00504F39"/>
    <w:rsid w:val="0050788A"/>
    <w:rsid w:val="00514D12"/>
    <w:rsid w:val="00522EB2"/>
    <w:rsid w:val="0052698E"/>
    <w:rsid w:val="00532655"/>
    <w:rsid w:val="005347CB"/>
    <w:rsid w:val="00543DCF"/>
    <w:rsid w:val="00555D1F"/>
    <w:rsid w:val="005650DD"/>
    <w:rsid w:val="005877BF"/>
    <w:rsid w:val="00594581"/>
    <w:rsid w:val="00596F39"/>
    <w:rsid w:val="00597B40"/>
    <w:rsid w:val="005A1005"/>
    <w:rsid w:val="005C0035"/>
    <w:rsid w:val="005C07D1"/>
    <w:rsid w:val="005D2B7E"/>
    <w:rsid w:val="005D7ABB"/>
    <w:rsid w:val="005E4E7F"/>
    <w:rsid w:val="005E54A9"/>
    <w:rsid w:val="005F4367"/>
    <w:rsid w:val="005F6161"/>
    <w:rsid w:val="0061257C"/>
    <w:rsid w:val="00614A88"/>
    <w:rsid w:val="006172D8"/>
    <w:rsid w:val="006178B2"/>
    <w:rsid w:val="00621EE2"/>
    <w:rsid w:val="006252AE"/>
    <w:rsid w:val="00626416"/>
    <w:rsid w:val="006314CC"/>
    <w:rsid w:val="00635D06"/>
    <w:rsid w:val="006441C7"/>
    <w:rsid w:val="006570A2"/>
    <w:rsid w:val="00664A0F"/>
    <w:rsid w:val="00667066"/>
    <w:rsid w:val="00682A63"/>
    <w:rsid w:val="006C025C"/>
    <w:rsid w:val="006C1F08"/>
    <w:rsid w:val="006C2DBE"/>
    <w:rsid w:val="006D3347"/>
    <w:rsid w:val="006D33D0"/>
    <w:rsid w:val="006E4BF6"/>
    <w:rsid w:val="006F3714"/>
    <w:rsid w:val="007017F1"/>
    <w:rsid w:val="007040C5"/>
    <w:rsid w:val="0070728C"/>
    <w:rsid w:val="00713BBA"/>
    <w:rsid w:val="0072531B"/>
    <w:rsid w:val="007368A6"/>
    <w:rsid w:val="007400CA"/>
    <w:rsid w:val="0075218C"/>
    <w:rsid w:val="00773E5A"/>
    <w:rsid w:val="00776334"/>
    <w:rsid w:val="00776902"/>
    <w:rsid w:val="007860B5"/>
    <w:rsid w:val="00790679"/>
    <w:rsid w:val="007952D3"/>
    <w:rsid w:val="007A1E85"/>
    <w:rsid w:val="007B1AA1"/>
    <w:rsid w:val="007B3961"/>
    <w:rsid w:val="007B7079"/>
    <w:rsid w:val="007C3F7A"/>
    <w:rsid w:val="007D1FAB"/>
    <w:rsid w:val="007D2225"/>
    <w:rsid w:val="007D5184"/>
    <w:rsid w:val="007E43F3"/>
    <w:rsid w:val="007F6998"/>
    <w:rsid w:val="00806073"/>
    <w:rsid w:val="008063BC"/>
    <w:rsid w:val="008073BF"/>
    <w:rsid w:val="00812C4C"/>
    <w:rsid w:val="00832A5F"/>
    <w:rsid w:val="00844E4A"/>
    <w:rsid w:val="00845B3E"/>
    <w:rsid w:val="00853041"/>
    <w:rsid w:val="008567D9"/>
    <w:rsid w:val="00861C31"/>
    <w:rsid w:val="00863EDC"/>
    <w:rsid w:val="00865F5C"/>
    <w:rsid w:val="00871D66"/>
    <w:rsid w:val="00872917"/>
    <w:rsid w:val="00872C2A"/>
    <w:rsid w:val="00874A11"/>
    <w:rsid w:val="00883F11"/>
    <w:rsid w:val="00884754"/>
    <w:rsid w:val="00884ECC"/>
    <w:rsid w:val="008A0002"/>
    <w:rsid w:val="008A5260"/>
    <w:rsid w:val="008B78EE"/>
    <w:rsid w:val="008C0D7D"/>
    <w:rsid w:val="008C4F51"/>
    <w:rsid w:val="008C77CB"/>
    <w:rsid w:val="008D5D72"/>
    <w:rsid w:val="008E0E50"/>
    <w:rsid w:val="008E4497"/>
    <w:rsid w:val="009039E1"/>
    <w:rsid w:val="00906A40"/>
    <w:rsid w:val="00907B6F"/>
    <w:rsid w:val="009110A8"/>
    <w:rsid w:val="00943109"/>
    <w:rsid w:val="0095242A"/>
    <w:rsid w:val="00954830"/>
    <w:rsid w:val="009712B5"/>
    <w:rsid w:val="0097283B"/>
    <w:rsid w:val="00977D9D"/>
    <w:rsid w:val="00980EB1"/>
    <w:rsid w:val="00995760"/>
    <w:rsid w:val="009A5426"/>
    <w:rsid w:val="009A7879"/>
    <w:rsid w:val="009B0118"/>
    <w:rsid w:val="009B16E3"/>
    <w:rsid w:val="009B2344"/>
    <w:rsid w:val="009C0F00"/>
    <w:rsid w:val="009C1DAB"/>
    <w:rsid w:val="009C3238"/>
    <w:rsid w:val="009D05CD"/>
    <w:rsid w:val="009E0809"/>
    <w:rsid w:val="009E4FF0"/>
    <w:rsid w:val="009E7EC3"/>
    <w:rsid w:val="009F1E81"/>
    <w:rsid w:val="00A0060A"/>
    <w:rsid w:val="00A0419C"/>
    <w:rsid w:val="00A06A94"/>
    <w:rsid w:val="00A148ED"/>
    <w:rsid w:val="00A20E0B"/>
    <w:rsid w:val="00A2255C"/>
    <w:rsid w:val="00A264ED"/>
    <w:rsid w:val="00A27597"/>
    <w:rsid w:val="00A336C6"/>
    <w:rsid w:val="00A4078B"/>
    <w:rsid w:val="00A5689F"/>
    <w:rsid w:val="00A57B3E"/>
    <w:rsid w:val="00A73B4B"/>
    <w:rsid w:val="00A7696F"/>
    <w:rsid w:val="00A86B55"/>
    <w:rsid w:val="00A9037B"/>
    <w:rsid w:val="00A95022"/>
    <w:rsid w:val="00A97632"/>
    <w:rsid w:val="00AA517A"/>
    <w:rsid w:val="00AB16E3"/>
    <w:rsid w:val="00AB40A3"/>
    <w:rsid w:val="00AB7DC9"/>
    <w:rsid w:val="00AC64EF"/>
    <w:rsid w:val="00AD0AEB"/>
    <w:rsid w:val="00AE4E97"/>
    <w:rsid w:val="00AF1228"/>
    <w:rsid w:val="00AF62AB"/>
    <w:rsid w:val="00B4514A"/>
    <w:rsid w:val="00B611AD"/>
    <w:rsid w:val="00B6260B"/>
    <w:rsid w:val="00B63BA1"/>
    <w:rsid w:val="00B65ABB"/>
    <w:rsid w:val="00B72A24"/>
    <w:rsid w:val="00B74DB7"/>
    <w:rsid w:val="00B75BFF"/>
    <w:rsid w:val="00B819FD"/>
    <w:rsid w:val="00B909C1"/>
    <w:rsid w:val="00B92115"/>
    <w:rsid w:val="00B960AB"/>
    <w:rsid w:val="00BA1A37"/>
    <w:rsid w:val="00BB0145"/>
    <w:rsid w:val="00BC07C0"/>
    <w:rsid w:val="00BC5E48"/>
    <w:rsid w:val="00BD2241"/>
    <w:rsid w:val="00BD264D"/>
    <w:rsid w:val="00BD3EA1"/>
    <w:rsid w:val="00BD5977"/>
    <w:rsid w:val="00BE16A0"/>
    <w:rsid w:val="00BE4382"/>
    <w:rsid w:val="00BE5C5A"/>
    <w:rsid w:val="00BF62CA"/>
    <w:rsid w:val="00BF6AAA"/>
    <w:rsid w:val="00C04D52"/>
    <w:rsid w:val="00C0528E"/>
    <w:rsid w:val="00C06824"/>
    <w:rsid w:val="00C0749F"/>
    <w:rsid w:val="00C1092B"/>
    <w:rsid w:val="00C20BF1"/>
    <w:rsid w:val="00C20FA7"/>
    <w:rsid w:val="00C23ABC"/>
    <w:rsid w:val="00C32E78"/>
    <w:rsid w:val="00C4263C"/>
    <w:rsid w:val="00C53B3A"/>
    <w:rsid w:val="00C56960"/>
    <w:rsid w:val="00C710DD"/>
    <w:rsid w:val="00C721FB"/>
    <w:rsid w:val="00C81172"/>
    <w:rsid w:val="00C8375A"/>
    <w:rsid w:val="00C8511F"/>
    <w:rsid w:val="00C85314"/>
    <w:rsid w:val="00C85554"/>
    <w:rsid w:val="00C87F89"/>
    <w:rsid w:val="00C95A30"/>
    <w:rsid w:val="00CA3200"/>
    <w:rsid w:val="00CB197B"/>
    <w:rsid w:val="00CB46E1"/>
    <w:rsid w:val="00CB7D48"/>
    <w:rsid w:val="00CC518A"/>
    <w:rsid w:val="00CC7688"/>
    <w:rsid w:val="00CD6220"/>
    <w:rsid w:val="00CE2EC1"/>
    <w:rsid w:val="00CF55F4"/>
    <w:rsid w:val="00D00AEA"/>
    <w:rsid w:val="00D033C3"/>
    <w:rsid w:val="00D04339"/>
    <w:rsid w:val="00D10368"/>
    <w:rsid w:val="00D14767"/>
    <w:rsid w:val="00D200B2"/>
    <w:rsid w:val="00D226F1"/>
    <w:rsid w:val="00D26165"/>
    <w:rsid w:val="00D27847"/>
    <w:rsid w:val="00D33840"/>
    <w:rsid w:val="00D519A4"/>
    <w:rsid w:val="00D53592"/>
    <w:rsid w:val="00D62052"/>
    <w:rsid w:val="00D62FB5"/>
    <w:rsid w:val="00D63087"/>
    <w:rsid w:val="00D72019"/>
    <w:rsid w:val="00D934F4"/>
    <w:rsid w:val="00D94BC9"/>
    <w:rsid w:val="00D94CA5"/>
    <w:rsid w:val="00DA6822"/>
    <w:rsid w:val="00DB1370"/>
    <w:rsid w:val="00DB5C66"/>
    <w:rsid w:val="00DC1BD1"/>
    <w:rsid w:val="00DD3F21"/>
    <w:rsid w:val="00DE6F7A"/>
    <w:rsid w:val="00DF070A"/>
    <w:rsid w:val="00DF08EE"/>
    <w:rsid w:val="00DF2248"/>
    <w:rsid w:val="00E04474"/>
    <w:rsid w:val="00E07B97"/>
    <w:rsid w:val="00E10F64"/>
    <w:rsid w:val="00E1542C"/>
    <w:rsid w:val="00E165E1"/>
    <w:rsid w:val="00E26D66"/>
    <w:rsid w:val="00E3106D"/>
    <w:rsid w:val="00E325CA"/>
    <w:rsid w:val="00E33AF6"/>
    <w:rsid w:val="00E364A2"/>
    <w:rsid w:val="00E4785F"/>
    <w:rsid w:val="00E56771"/>
    <w:rsid w:val="00E70340"/>
    <w:rsid w:val="00E73D2C"/>
    <w:rsid w:val="00E745A2"/>
    <w:rsid w:val="00E75CDC"/>
    <w:rsid w:val="00E75D1B"/>
    <w:rsid w:val="00E7665A"/>
    <w:rsid w:val="00E803BF"/>
    <w:rsid w:val="00E9153E"/>
    <w:rsid w:val="00E921D1"/>
    <w:rsid w:val="00EA0E6D"/>
    <w:rsid w:val="00EA45D0"/>
    <w:rsid w:val="00EA733B"/>
    <w:rsid w:val="00EC1509"/>
    <w:rsid w:val="00EC19E5"/>
    <w:rsid w:val="00EC626B"/>
    <w:rsid w:val="00ED5D69"/>
    <w:rsid w:val="00EE250B"/>
    <w:rsid w:val="00EE4162"/>
    <w:rsid w:val="00EF4110"/>
    <w:rsid w:val="00EF5F07"/>
    <w:rsid w:val="00F008C0"/>
    <w:rsid w:val="00F203E9"/>
    <w:rsid w:val="00F24AA2"/>
    <w:rsid w:val="00F268C4"/>
    <w:rsid w:val="00F27628"/>
    <w:rsid w:val="00F31D0A"/>
    <w:rsid w:val="00F34D5A"/>
    <w:rsid w:val="00F40898"/>
    <w:rsid w:val="00F471D8"/>
    <w:rsid w:val="00F47597"/>
    <w:rsid w:val="00F47DC6"/>
    <w:rsid w:val="00F54E30"/>
    <w:rsid w:val="00F55300"/>
    <w:rsid w:val="00F71E18"/>
    <w:rsid w:val="00F7245F"/>
    <w:rsid w:val="00F8217A"/>
    <w:rsid w:val="00F91053"/>
    <w:rsid w:val="00F91ED9"/>
    <w:rsid w:val="00F92CB0"/>
    <w:rsid w:val="00FA01D5"/>
    <w:rsid w:val="00FA0859"/>
    <w:rsid w:val="00FA5091"/>
    <w:rsid w:val="00FB5C3A"/>
    <w:rsid w:val="00FC1E2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4C0F"/>
  <w15:chartTrackingRefBased/>
  <w15:docId w15:val="{250C6442-4D00-4BB4-A7FA-8CE6A50C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41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B5416"/>
  </w:style>
  <w:style w:type="paragraph" w:styleId="Footer">
    <w:name w:val="footer"/>
    <w:basedOn w:val="Normal"/>
    <w:link w:val="FooterChar"/>
    <w:uiPriority w:val="99"/>
    <w:unhideWhenUsed/>
    <w:rsid w:val="004B541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B5416"/>
  </w:style>
  <w:style w:type="paragraph" w:styleId="ListParagraph">
    <w:name w:val="List Paragraph"/>
    <w:basedOn w:val="Normal"/>
    <w:uiPriority w:val="34"/>
    <w:qFormat/>
    <w:rsid w:val="004B5416"/>
    <w:pPr>
      <w:ind w:left="720"/>
      <w:contextualSpacing/>
    </w:pPr>
  </w:style>
  <w:style w:type="character" w:styleId="CommentReference">
    <w:name w:val="annotation reference"/>
    <w:basedOn w:val="DefaultParagraphFont"/>
    <w:uiPriority w:val="99"/>
    <w:semiHidden/>
    <w:unhideWhenUsed/>
    <w:rsid w:val="004B5416"/>
    <w:rPr>
      <w:sz w:val="16"/>
      <w:szCs w:val="16"/>
    </w:rPr>
  </w:style>
  <w:style w:type="paragraph" w:styleId="CommentText">
    <w:name w:val="annotation text"/>
    <w:basedOn w:val="Normal"/>
    <w:link w:val="CommentTextChar"/>
    <w:uiPriority w:val="99"/>
    <w:unhideWhenUsed/>
    <w:rsid w:val="004B5416"/>
    <w:pPr>
      <w:spacing w:line="240" w:lineRule="auto"/>
    </w:pPr>
    <w:rPr>
      <w:sz w:val="20"/>
      <w:szCs w:val="20"/>
    </w:rPr>
  </w:style>
  <w:style w:type="character" w:customStyle="1" w:styleId="CommentTextChar">
    <w:name w:val="Comment Text Char"/>
    <w:basedOn w:val="DefaultParagraphFont"/>
    <w:link w:val="CommentText"/>
    <w:uiPriority w:val="99"/>
    <w:rsid w:val="004B5416"/>
    <w:rPr>
      <w:sz w:val="20"/>
      <w:szCs w:val="20"/>
    </w:rPr>
  </w:style>
  <w:style w:type="table" w:styleId="TableGrid">
    <w:name w:val="Table Grid"/>
    <w:basedOn w:val="TableNormal"/>
    <w:uiPriority w:val="39"/>
    <w:rsid w:val="004B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F51"/>
    <w:pPr>
      <w:spacing w:after="0" w:line="240" w:lineRule="auto"/>
    </w:pPr>
  </w:style>
  <w:style w:type="paragraph" w:styleId="CommentSubject">
    <w:name w:val="annotation subject"/>
    <w:basedOn w:val="CommentText"/>
    <w:next w:val="CommentText"/>
    <w:link w:val="CommentSubjectChar"/>
    <w:uiPriority w:val="99"/>
    <w:semiHidden/>
    <w:unhideWhenUsed/>
    <w:rsid w:val="008C4F51"/>
    <w:rPr>
      <w:b/>
      <w:bCs/>
    </w:rPr>
  </w:style>
  <w:style w:type="character" w:customStyle="1" w:styleId="CommentSubjectChar">
    <w:name w:val="Comment Subject Char"/>
    <w:basedOn w:val="CommentTextChar"/>
    <w:link w:val="CommentSubject"/>
    <w:uiPriority w:val="99"/>
    <w:semiHidden/>
    <w:rsid w:val="008C4F51"/>
    <w:rPr>
      <w:b/>
      <w:bCs/>
      <w:sz w:val="20"/>
      <w:szCs w:val="20"/>
    </w:rPr>
  </w:style>
  <w:style w:type="character" w:styleId="Hyperlink">
    <w:name w:val="Hyperlink"/>
    <w:basedOn w:val="DefaultParagraphFont"/>
    <w:uiPriority w:val="99"/>
    <w:unhideWhenUsed/>
    <w:rsid w:val="004F6EEA"/>
    <w:rPr>
      <w:color w:val="0563C1" w:themeColor="hyperlink"/>
      <w:u w:val="single"/>
    </w:rPr>
  </w:style>
  <w:style w:type="character" w:styleId="UnresolvedMention">
    <w:name w:val="Unresolved Mention"/>
    <w:basedOn w:val="DefaultParagraphFont"/>
    <w:uiPriority w:val="99"/>
    <w:semiHidden/>
    <w:unhideWhenUsed/>
    <w:rsid w:val="004F6EEA"/>
    <w:rPr>
      <w:color w:val="605E5C"/>
      <w:shd w:val="clear" w:color="auto" w:fill="E1DFDD"/>
    </w:rPr>
  </w:style>
  <w:style w:type="paragraph" w:customStyle="1" w:styleId="oj-tbl-txt">
    <w:name w:val="oj-tbl-txt"/>
    <w:basedOn w:val="Normal"/>
    <w:rsid w:val="00351ED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059">
      <w:bodyDiv w:val="1"/>
      <w:marLeft w:val="0"/>
      <w:marRight w:val="0"/>
      <w:marTop w:val="0"/>
      <w:marBottom w:val="0"/>
      <w:divBdr>
        <w:top w:val="none" w:sz="0" w:space="0" w:color="auto"/>
        <w:left w:val="none" w:sz="0" w:space="0" w:color="auto"/>
        <w:bottom w:val="none" w:sz="0" w:space="0" w:color="auto"/>
        <w:right w:val="none" w:sz="0" w:space="0" w:color="auto"/>
      </w:divBdr>
    </w:div>
    <w:div w:id="97602825">
      <w:bodyDiv w:val="1"/>
      <w:marLeft w:val="0"/>
      <w:marRight w:val="0"/>
      <w:marTop w:val="0"/>
      <w:marBottom w:val="0"/>
      <w:divBdr>
        <w:top w:val="none" w:sz="0" w:space="0" w:color="auto"/>
        <w:left w:val="none" w:sz="0" w:space="0" w:color="auto"/>
        <w:bottom w:val="none" w:sz="0" w:space="0" w:color="auto"/>
        <w:right w:val="none" w:sz="0" w:space="0" w:color="auto"/>
      </w:divBdr>
      <w:divsChild>
        <w:div w:id="1032462729">
          <w:marLeft w:val="0"/>
          <w:marRight w:val="0"/>
          <w:marTop w:val="0"/>
          <w:marBottom w:val="0"/>
          <w:divBdr>
            <w:top w:val="none" w:sz="0" w:space="0" w:color="auto"/>
            <w:left w:val="none" w:sz="0" w:space="0" w:color="auto"/>
            <w:bottom w:val="none" w:sz="0" w:space="0" w:color="auto"/>
            <w:right w:val="none" w:sz="0" w:space="0" w:color="auto"/>
          </w:divBdr>
        </w:div>
      </w:divsChild>
    </w:div>
    <w:div w:id="106780499">
      <w:bodyDiv w:val="1"/>
      <w:marLeft w:val="0"/>
      <w:marRight w:val="0"/>
      <w:marTop w:val="0"/>
      <w:marBottom w:val="0"/>
      <w:divBdr>
        <w:top w:val="none" w:sz="0" w:space="0" w:color="auto"/>
        <w:left w:val="none" w:sz="0" w:space="0" w:color="auto"/>
        <w:bottom w:val="none" w:sz="0" w:space="0" w:color="auto"/>
        <w:right w:val="none" w:sz="0" w:space="0" w:color="auto"/>
      </w:divBdr>
      <w:divsChild>
        <w:div w:id="815994701">
          <w:marLeft w:val="0"/>
          <w:marRight w:val="0"/>
          <w:marTop w:val="0"/>
          <w:marBottom w:val="0"/>
          <w:divBdr>
            <w:top w:val="none" w:sz="0" w:space="0" w:color="auto"/>
            <w:left w:val="none" w:sz="0" w:space="0" w:color="auto"/>
            <w:bottom w:val="none" w:sz="0" w:space="0" w:color="auto"/>
            <w:right w:val="none" w:sz="0" w:space="0" w:color="auto"/>
          </w:divBdr>
        </w:div>
      </w:divsChild>
    </w:div>
    <w:div w:id="348290843">
      <w:bodyDiv w:val="1"/>
      <w:marLeft w:val="0"/>
      <w:marRight w:val="0"/>
      <w:marTop w:val="0"/>
      <w:marBottom w:val="0"/>
      <w:divBdr>
        <w:top w:val="none" w:sz="0" w:space="0" w:color="auto"/>
        <w:left w:val="none" w:sz="0" w:space="0" w:color="auto"/>
        <w:bottom w:val="none" w:sz="0" w:space="0" w:color="auto"/>
        <w:right w:val="none" w:sz="0" w:space="0" w:color="auto"/>
      </w:divBdr>
    </w:div>
    <w:div w:id="392584264">
      <w:bodyDiv w:val="1"/>
      <w:marLeft w:val="0"/>
      <w:marRight w:val="0"/>
      <w:marTop w:val="0"/>
      <w:marBottom w:val="0"/>
      <w:divBdr>
        <w:top w:val="none" w:sz="0" w:space="0" w:color="auto"/>
        <w:left w:val="none" w:sz="0" w:space="0" w:color="auto"/>
        <w:bottom w:val="none" w:sz="0" w:space="0" w:color="auto"/>
        <w:right w:val="none" w:sz="0" w:space="0" w:color="auto"/>
      </w:divBdr>
      <w:divsChild>
        <w:div w:id="1173032554">
          <w:marLeft w:val="0"/>
          <w:marRight w:val="0"/>
          <w:marTop w:val="0"/>
          <w:marBottom w:val="0"/>
          <w:divBdr>
            <w:top w:val="none" w:sz="0" w:space="0" w:color="auto"/>
            <w:left w:val="none" w:sz="0" w:space="0" w:color="auto"/>
            <w:bottom w:val="none" w:sz="0" w:space="0" w:color="auto"/>
            <w:right w:val="none" w:sz="0" w:space="0" w:color="auto"/>
          </w:divBdr>
        </w:div>
      </w:divsChild>
    </w:div>
    <w:div w:id="441535335">
      <w:bodyDiv w:val="1"/>
      <w:marLeft w:val="0"/>
      <w:marRight w:val="0"/>
      <w:marTop w:val="0"/>
      <w:marBottom w:val="0"/>
      <w:divBdr>
        <w:top w:val="none" w:sz="0" w:space="0" w:color="auto"/>
        <w:left w:val="none" w:sz="0" w:space="0" w:color="auto"/>
        <w:bottom w:val="none" w:sz="0" w:space="0" w:color="auto"/>
        <w:right w:val="none" w:sz="0" w:space="0" w:color="auto"/>
      </w:divBdr>
    </w:div>
    <w:div w:id="767233641">
      <w:bodyDiv w:val="1"/>
      <w:marLeft w:val="0"/>
      <w:marRight w:val="0"/>
      <w:marTop w:val="0"/>
      <w:marBottom w:val="0"/>
      <w:divBdr>
        <w:top w:val="none" w:sz="0" w:space="0" w:color="auto"/>
        <w:left w:val="none" w:sz="0" w:space="0" w:color="auto"/>
        <w:bottom w:val="none" w:sz="0" w:space="0" w:color="auto"/>
        <w:right w:val="none" w:sz="0" w:space="0" w:color="auto"/>
      </w:divBdr>
    </w:div>
    <w:div w:id="770509629">
      <w:bodyDiv w:val="1"/>
      <w:marLeft w:val="0"/>
      <w:marRight w:val="0"/>
      <w:marTop w:val="0"/>
      <w:marBottom w:val="0"/>
      <w:divBdr>
        <w:top w:val="none" w:sz="0" w:space="0" w:color="auto"/>
        <w:left w:val="none" w:sz="0" w:space="0" w:color="auto"/>
        <w:bottom w:val="none" w:sz="0" w:space="0" w:color="auto"/>
        <w:right w:val="none" w:sz="0" w:space="0" w:color="auto"/>
      </w:divBdr>
      <w:divsChild>
        <w:div w:id="562178983">
          <w:marLeft w:val="0"/>
          <w:marRight w:val="0"/>
          <w:marTop w:val="0"/>
          <w:marBottom w:val="0"/>
          <w:divBdr>
            <w:top w:val="none" w:sz="0" w:space="0" w:color="auto"/>
            <w:left w:val="none" w:sz="0" w:space="0" w:color="auto"/>
            <w:bottom w:val="none" w:sz="0" w:space="0" w:color="auto"/>
            <w:right w:val="none" w:sz="0" w:space="0" w:color="auto"/>
          </w:divBdr>
        </w:div>
      </w:divsChild>
    </w:div>
    <w:div w:id="777525621">
      <w:bodyDiv w:val="1"/>
      <w:marLeft w:val="0"/>
      <w:marRight w:val="0"/>
      <w:marTop w:val="0"/>
      <w:marBottom w:val="0"/>
      <w:divBdr>
        <w:top w:val="none" w:sz="0" w:space="0" w:color="auto"/>
        <w:left w:val="none" w:sz="0" w:space="0" w:color="auto"/>
        <w:bottom w:val="none" w:sz="0" w:space="0" w:color="auto"/>
        <w:right w:val="none" w:sz="0" w:space="0" w:color="auto"/>
      </w:divBdr>
    </w:div>
    <w:div w:id="822427272">
      <w:bodyDiv w:val="1"/>
      <w:marLeft w:val="0"/>
      <w:marRight w:val="0"/>
      <w:marTop w:val="0"/>
      <w:marBottom w:val="0"/>
      <w:divBdr>
        <w:top w:val="none" w:sz="0" w:space="0" w:color="auto"/>
        <w:left w:val="none" w:sz="0" w:space="0" w:color="auto"/>
        <w:bottom w:val="none" w:sz="0" w:space="0" w:color="auto"/>
        <w:right w:val="none" w:sz="0" w:space="0" w:color="auto"/>
      </w:divBdr>
    </w:div>
    <w:div w:id="835921368">
      <w:bodyDiv w:val="1"/>
      <w:marLeft w:val="0"/>
      <w:marRight w:val="0"/>
      <w:marTop w:val="0"/>
      <w:marBottom w:val="0"/>
      <w:divBdr>
        <w:top w:val="none" w:sz="0" w:space="0" w:color="auto"/>
        <w:left w:val="none" w:sz="0" w:space="0" w:color="auto"/>
        <w:bottom w:val="none" w:sz="0" w:space="0" w:color="auto"/>
        <w:right w:val="none" w:sz="0" w:space="0" w:color="auto"/>
      </w:divBdr>
      <w:divsChild>
        <w:div w:id="1637877131">
          <w:marLeft w:val="0"/>
          <w:marRight w:val="0"/>
          <w:marTop w:val="0"/>
          <w:marBottom w:val="0"/>
          <w:divBdr>
            <w:top w:val="none" w:sz="0" w:space="0" w:color="auto"/>
            <w:left w:val="none" w:sz="0" w:space="0" w:color="auto"/>
            <w:bottom w:val="none" w:sz="0" w:space="0" w:color="auto"/>
            <w:right w:val="none" w:sz="0" w:space="0" w:color="auto"/>
          </w:divBdr>
        </w:div>
      </w:divsChild>
    </w:div>
    <w:div w:id="970591671">
      <w:bodyDiv w:val="1"/>
      <w:marLeft w:val="0"/>
      <w:marRight w:val="0"/>
      <w:marTop w:val="0"/>
      <w:marBottom w:val="0"/>
      <w:divBdr>
        <w:top w:val="none" w:sz="0" w:space="0" w:color="auto"/>
        <w:left w:val="none" w:sz="0" w:space="0" w:color="auto"/>
        <w:bottom w:val="none" w:sz="0" w:space="0" w:color="auto"/>
        <w:right w:val="none" w:sz="0" w:space="0" w:color="auto"/>
      </w:divBdr>
    </w:div>
    <w:div w:id="1140030716">
      <w:bodyDiv w:val="1"/>
      <w:marLeft w:val="0"/>
      <w:marRight w:val="0"/>
      <w:marTop w:val="0"/>
      <w:marBottom w:val="0"/>
      <w:divBdr>
        <w:top w:val="none" w:sz="0" w:space="0" w:color="auto"/>
        <w:left w:val="none" w:sz="0" w:space="0" w:color="auto"/>
        <w:bottom w:val="none" w:sz="0" w:space="0" w:color="auto"/>
        <w:right w:val="none" w:sz="0" w:space="0" w:color="auto"/>
      </w:divBdr>
      <w:divsChild>
        <w:div w:id="87124364">
          <w:marLeft w:val="0"/>
          <w:marRight w:val="0"/>
          <w:marTop w:val="0"/>
          <w:marBottom w:val="0"/>
          <w:divBdr>
            <w:top w:val="none" w:sz="0" w:space="0" w:color="auto"/>
            <w:left w:val="none" w:sz="0" w:space="0" w:color="auto"/>
            <w:bottom w:val="none" w:sz="0" w:space="0" w:color="auto"/>
            <w:right w:val="none" w:sz="0" w:space="0" w:color="auto"/>
          </w:divBdr>
        </w:div>
      </w:divsChild>
    </w:div>
    <w:div w:id="1333414927">
      <w:bodyDiv w:val="1"/>
      <w:marLeft w:val="0"/>
      <w:marRight w:val="0"/>
      <w:marTop w:val="0"/>
      <w:marBottom w:val="0"/>
      <w:divBdr>
        <w:top w:val="none" w:sz="0" w:space="0" w:color="auto"/>
        <w:left w:val="none" w:sz="0" w:space="0" w:color="auto"/>
        <w:bottom w:val="none" w:sz="0" w:space="0" w:color="auto"/>
        <w:right w:val="none" w:sz="0" w:space="0" w:color="auto"/>
      </w:divBdr>
    </w:div>
    <w:div w:id="1336573720">
      <w:bodyDiv w:val="1"/>
      <w:marLeft w:val="0"/>
      <w:marRight w:val="0"/>
      <w:marTop w:val="0"/>
      <w:marBottom w:val="0"/>
      <w:divBdr>
        <w:top w:val="none" w:sz="0" w:space="0" w:color="auto"/>
        <w:left w:val="none" w:sz="0" w:space="0" w:color="auto"/>
        <w:bottom w:val="none" w:sz="0" w:space="0" w:color="auto"/>
        <w:right w:val="none" w:sz="0" w:space="0" w:color="auto"/>
      </w:divBdr>
      <w:divsChild>
        <w:div w:id="2072921565">
          <w:marLeft w:val="0"/>
          <w:marRight w:val="0"/>
          <w:marTop w:val="0"/>
          <w:marBottom w:val="0"/>
          <w:divBdr>
            <w:top w:val="none" w:sz="0" w:space="0" w:color="auto"/>
            <w:left w:val="none" w:sz="0" w:space="0" w:color="auto"/>
            <w:bottom w:val="none" w:sz="0" w:space="0" w:color="auto"/>
            <w:right w:val="none" w:sz="0" w:space="0" w:color="auto"/>
          </w:divBdr>
        </w:div>
      </w:divsChild>
    </w:div>
    <w:div w:id="1355693377">
      <w:bodyDiv w:val="1"/>
      <w:marLeft w:val="0"/>
      <w:marRight w:val="0"/>
      <w:marTop w:val="0"/>
      <w:marBottom w:val="0"/>
      <w:divBdr>
        <w:top w:val="none" w:sz="0" w:space="0" w:color="auto"/>
        <w:left w:val="none" w:sz="0" w:space="0" w:color="auto"/>
        <w:bottom w:val="none" w:sz="0" w:space="0" w:color="auto"/>
        <w:right w:val="none" w:sz="0" w:space="0" w:color="auto"/>
      </w:divBdr>
      <w:divsChild>
        <w:div w:id="1228302706">
          <w:marLeft w:val="0"/>
          <w:marRight w:val="0"/>
          <w:marTop w:val="0"/>
          <w:marBottom w:val="0"/>
          <w:divBdr>
            <w:top w:val="none" w:sz="0" w:space="0" w:color="auto"/>
            <w:left w:val="none" w:sz="0" w:space="0" w:color="auto"/>
            <w:bottom w:val="none" w:sz="0" w:space="0" w:color="auto"/>
            <w:right w:val="none" w:sz="0" w:space="0" w:color="auto"/>
          </w:divBdr>
        </w:div>
      </w:divsChild>
    </w:div>
    <w:div w:id="1486702433">
      <w:bodyDiv w:val="1"/>
      <w:marLeft w:val="0"/>
      <w:marRight w:val="0"/>
      <w:marTop w:val="0"/>
      <w:marBottom w:val="0"/>
      <w:divBdr>
        <w:top w:val="none" w:sz="0" w:space="0" w:color="auto"/>
        <w:left w:val="none" w:sz="0" w:space="0" w:color="auto"/>
        <w:bottom w:val="none" w:sz="0" w:space="0" w:color="auto"/>
        <w:right w:val="none" w:sz="0" w:space="0" w:color="auto"/>
      </w:divBdr>
      <w:divsChild>
        <w:div w:id="1689411293">
          <w:marLeft w:val="0"/>
          <w:marRight w:val="0"/>
          <w:marTop w:val="0"/>
          <w:marBottom w:val="0"/>
          <w:divBdr>
            <w:top w:val="none" w:sz="0" w:space="0" w:color="auto"/>
            <w:left w:val="none" w:sz="0" w:space="0" w:color="auto"/>
            <w:bottom w:val="none" w:sz="0" w:space="0" w:color="auto"/>
            <w:right w:val="none" w:sz="0" w:space="0" w:color="auto"/>
          </w:divBdr>
        </w:div>
      </w:divsChild>
    </w:div>
    <w:div w:id="1510023713">
      <w:bodyDiv w:val="1"/>
      <w:marLeft w:val="0"/>
      <w:marRight w:val="0"/>
      <w:marTop w:val="0"/>
      <w:marBottom w:val="0"/>
      <w:divBdr>
        <w:top w:val="none" w:sz="0" w:space="0" w:color="auto"/>
        <w:left w:val="none" w:sz="0" w:space="0" w:color="auto"/>
        <w:bottom w:val="none" w:sz="0" w:space="0" w:color="auto"/>
        <w:right w:val="none" w:sz="0" w:space="0" w:color="auto"/>
      </w:divBdr>
      <w:divsChild>
        <w:div w:id="364672487">
          <w:marLeft w:val="0"/>
          <w:marRight w:val="0"/>
          <w:marTop w:val="0"/>
          <w:marBottom w:val="0"/>
          <w:divBdr>
            <w:top w:val="none" w:sz="0" w:space="0" w:color="auto"/>
            <w:left w:val="none" w:sz="0" w:space="0" w:color="auto"/>
            <w:bottom w:val="none" w:sz="0" w:space="0" w:color="auto"/>
            <w:right w:val="none" w:sz="0" w:space="0" w:color="auto"/>
          </w:divBdr>
        </w:div>
      </w:divsChild>
    </w:div>
    <w:div w:id="1537740597">
      <w:bodyDiv w:val="1"/>
      <w:marLeft w:val="0"/>
      <w:marRight w:val="0"/>
      <w:marTop w:val="0"/>
      <w:marBottom w:val="0"/>
      <w:divBdr>
        <w:top w:val="none" w:sz="0" w:space="0" w:color="auto"/>
        <w:left w:val="none" w:sz="0" w:space="0" w:color="auto"/>
        <w:bottom w:val="none" w:sz="0" w:space="0" w:color="auto"/>
        <w:right w:val="none" w:sz="0" w:space="0" w:color="auto"/>
      </w:divBdr>
      <w:divsChild>
        <w:div w:id="1542747717">
          <w:marLeft w:val="0"/>
          <w:marRight w:val="0"/>
          <w:marTop w:val="0"/>
          <w:marBottom w:val="0"/>
          <w:divBdr>
            <w:top w:val="none" w:sz="0" w:space="0" w:color="auto"/>
            <w:left w:val="none" w:sz="0" w:space="0" w:color="auto"/>
            <w:bottom w:val="none" w:sz="0" w:space="0" w:color="auto"/>
            <w:right w:val="none" w:sz="0" w:space="0" w:color="auto"/>
          </w:divBdr>
        </w:div>
      </w:divsChild>
    </w:div>
    <w:div w:id="1549337335">
      <w:bodyDiv w:val="1"/>
      <w:marLeft w:val="0"/>
      <w:marRight w:val="0"/>
      <w:marTop w:val="0"/>
      <w:marBottom w:val="0"/>
      <w:divBdr>
        <w:top w:val="none" w:sz="0" w:space="0" w:color="auto"/>
        <w:left w:val="none" w:sz="0" w:space="0" w:color="auto"/>
        <w:bottom w:val="none" w:sz="0" w:space="0" w:color="auto"/>
        <w:right w:val="none" w:sz="0" w:space="0" w:color="auto"/>
      </w:divBdr>
    </w:div>
    <w:div w:id="1627083545">
      <w:bodyDiv w:val="1"/>
      <w:marLeft w:val="0"/>
      <w:marRight w:val="0"/>
      <w:marTop w:val="0"/>
      <w:marBottom w:val="0"/>
      <w:divBdr>
        <w:top w:val="none" w:sz="0" w:space="0" w:color="auto"/>
        <w:left w:val="none" w:sz="0" w:space="0" w:color="auto"/>
        <w:bottom w:val="none" w:sz="0" w:space="0" w:color="auto"/>
        <w:right w:val="none" w:sz="0" w:space="0" w:color="auto"/>
      </w:divBdr>
      <w:divsChild>
        <w:div w:id="640698098">
          <w:marLeft w:val="0"/>
          <w:marRight w:val="0"/>
          <w:marTop w:val="0"/>
          <w:marBottom w:val="0"/>
          <w:divBdr>
            <w:top w:val="none" w:sz="0" w:space="0" w:color="auto"/>
            <w:left w:val="none" w:sz="0" w:space="0" w:color="auto"/>
            <w:bottom w:val="none" w:sz="0" w:space="0" w:color="auto"/>
            <w:right w:val="none" w:sz="0" w:space="0" w:color="auto"/>
          </w:divBdr>
        </w:div>
      </w:divsChild>
    </w:div>
    <w:div w:id="1640914409">
      <w:bodyDiv w:val="1"/>
      <w:marLeft w:val="0"/>
      <w:marRight w:val="0"/>
      <w:marTop w:val="0"/>
      <w:marBottom w:val="0"/>
      <w:divBdr>
        <w:top w:val="none" w:sz="0" w:space="0" w:color="auto"/>
        <w:left w:val="none" w:sz="0" w:space="0" w:color="auto"/>
        <w:bottom w:val="none" w:sz="0" w:space="0" w:color="auto"/>
        <w:right w:val="none" w:sz="0" w:space="0" w:color="auto"/>
      </w:divBdr>
      <w:divsChild>
        <w:div w:id="417950356">
          <w:marLeft w:val="0"/>
          <w:marRight w:val="0"/>
          <w:marTop w:val="0"/>
          <w:marBottom w:val="0"/>
          <w:divBdr>
            <w:top w:val="none" w:sz="0" w:space="0" w:color="auto"/>
            <w:left w:val="none" w:sz="0" w:space="0" w:color="auto"/>
            <w:bottom w:val="none" w:sz="0" w:space="0" w:color="auto"/>
            <w:right w:val="none" w:sz="0" w:space="0" w:color="auto"/>
          </w:divBdr>
        </w:div>
      </w:divsChild>
    </w:div>
    <w:div w:id="1647855229">
      <w:bodyDiv w:val="1"/>
      <w:marLeft w:val="0"/>
      <w:marRight w:val="0"/>
      <w:marTop w:val="0"/>
      <w:marBottom w:val="0"/>
      <w:divBdr>
        <w:top w:val="none" w:sz="0" w:space="0" w:color="auto"/>
        <w:left w:val="none" w:sz="0" w:space="0" w:color="auto"/>
        <w:bottom w:val="none" w:sz="0" w:space="0" w:color="auto"/>
        <w:right w:val="none" w:sz="0" w:space="0" w:color="auto"/>
      </w:divBdr>
    </w:div>
    <w:div w:id="1666015124">
      <w:bodyDiv w:val="1"/>
      <w:marLeft w:val="0"/>
      <w:marRight w:val="0"/>
      <w:marTop w:val="0"/>
      <w:marBottom w:val="0"/>
      <w:divBdr>
        <w:top w:val="none" w:sz="0" w:space="0" w:color="auto"/>
        <w:left w:val="none" w:sz="0" w:space="0" w:color="auto"/>
        <w:bottom w:val="none" w:sz="0" w:space="0" w:color="auto"/>
        <w:right w:val="none" w:sz="0" w:space="0" w:color="auto"/>
      </w:divBdr>
    </w:div>
    <w:div w:id="1691838321">
      <w:bodyDiv w:val="1"/>
      <w:marLeft w:val="0"/>
      <w:marRight w:val="0"/>
      <w:marTop w:val="0"/>
      <w:marBottom w:val="0"/>
      <w:divBdr>
        <w:top w:val="none" w:sz="0" w:space="0" w:color="auto"/>
        <w:left w:val="none" w:sz="0" w:space="0" w:color="auto"/>
        <w:bottom w:val="none" w:sz="0" w:space="0" w:color="auto"/>
        <w:right w:val="none" w:sz="0" w:space="0" w:color="auto"/>
      </w:divBdr>
      <w:divsChild>
        <w:div w:id="1179932127">
          <w:marLeft w:val="0"/>
          <w:marRight w:val="0"/>
          <w:marTop w:val="0"/>
          <w:marBottom w:val="0"/>
          <w:divBdr>
            <w:top w:val="none" w:sz="0" w:space="0" w:color="auto"/>
            <w:left w:val="none" w:sz="0" w:space="0" w:color="auto"/>
            <w:bottom w:val="none" w:sz="0" w:space="0" w:color="auto"/>
            <w:right w:val="none" w:sz="0" w:space="0" w:color="auto"/>
          </w:divBdr>
        </w:div>
      </w:divsChild>
    </w:div>
    <w:div w:id="1742409397">
      <w:bodyDiv w:val="1"/>
      <w:marLeft w:val="0"/>
      <w:marRight w:val="0"/>
      <w:marTop w:val="0"/>
      <w:marBottom w:val="0"/>
      <w:divBdr>
        <w:top w:val="none" w:sz="0" w:space="0" w:color="auto"/>
        <w:left w:val="none" w:sz="0" w:space="0" w:color="auto"/>
        <w:bottom w:val="none" w:sz="0" w:space="0" w:color="auto"/>
        <w:right w:val="none" w:sz="0" w:space="0" w:color="auto"/>
      </w:divBdr>
      <w:divsChild>
        <w:div w:id="1709917338">
          <w:marLeft w:val="0"/>
          <w:marRight w:val="0"/>
          <w:marTop w:val="0"/>
          <w:marBottom w:val="0"/>
          <w:divBdr>
            <w:top w:val="none" w:sz="0" w:space="0" w:color="auto"/>
            <w:left w:val="none" w:sz="0" w:space="0" w:color="auto"/>
            <w:bottom w:val="none" w:sz="0" w:space="0" w:color="auto"/>
            <w:right w:val="none" w:sz="0" w:space="0" w:color="auto"/>
          </w:divBdr>
        </w:div>
      </w:divsChild>
    </w:div>
    <w:div w:id="1752770187">
      <w:bodyDiv w:val="1"/>
      <w:marLeft w:val="0"/>
      <w:marRight w:val="0"/>
      <w:marTop w:val="0"/>
      <w:marBottom w:val="0"/>
      <w:divBdr>
        <w:top w:val="none" w:sz="0" w:space="0" w:color="auto"/>
        <w:left w:val="none" w:sz="0" w:space="0" w:color="auto"/>
        <w:bottom w:val="none" w:sz="0" w:space="0" w:color="auto"/>
        <w:right w:val="none" w:sz="0" w:space="0" w:color="auto"/>
      </w:divBdr>
      <w:divsChild>
        <w:div w:id="1093863053">
          <w:marLeft w:val="0"/>
          <w:marRight w:val="0"/>
          <w:marTop w:val="0"/>
          <w:marBottom w:val="0"/>
          <w:divBdr>
            <w:top w:val="none" w:sz="0" w:space="0" w:color="auto"/>
            <w:left w:val="none" w:sz="0" w:space="0" w:color="auto"/>
            <w:bottom w:val="none" w:sz="0" w:space="0" w:color="auto"/>
            <w:right w:val="none" w:sz="0" w:space="0" w:color="auto"/>
          </w:divBdr>
        </w:div>
      </w:divsChild>
    </w:div>
    <w:div w:id="1755853820">
      <w:bodyDiv w:val="1"/>
      <w:marLeft w:val="0"/>
      <w:marRight w:val="0"/>
      <w:marTop w:val="0"/>
      <w:marBottom w:val="0"/>
      <w:divBdr>
        <w:top w:val="none" w:sz="0" w:space="0" w:color="auto"/>
        <w:left w:val="none" w:sz="0" w:space="0" w:color="auto"/>
        <w:bottom w:val="none" w:sz="0" w:space="0" w:color="auto"/>
        <w:right w:val="none" w:sz="0" w:space="0" w:color="auto"/>
      </w:divBdr>
      <w:divsChild>
        <w:div w:id="77988540">
          <w:marLeft w:val="0"/>
          <w:marRight w:val="0"/>
          <w:marTop w:val="0"/>
          <w:marBottom w:val="0"/>
          <w:divBdr>
            <w:top w:val="none" w:sz="0" w:space="0" w:color="auto"/>
            <w:left w:val="none" w:sz="0" w:space="0" w:color="auto"/>
            <w:bottom w:val="none" w:sz="0" w:space="0" w:color="auto"/>
            <w:right w:val="none" w:sz="0" w:space="0" w:color="auto"/>
          </w:divBdr>
        </w:div>
      </w:divsChild>
    </w:div>
    <w:div w:id="1786347394">
      <w:bodyDiv w:val="1"/>
      <w:marLeft w:val="0"/>
      <w:marRight w:val="0"/>
      <w:marTop w:val="0"/>
      <w:marBottom w:val="0"/>
      <w:divBdr>
        <w:top w:val="none" w:sz="0" w:space="0" w:color="auto"/>
        <w:left w:val="none" w:sz="0" w:space="0" w:color="auto"/>
        <w:bottom w:val="none" w:sz="0" w:space="0" w:color="auto"/>
        <w:right w:val="none" w:sz="0" w:space="0" w:color="auto"/>
      </w:divBdr>
      <w:divsChild>
        <w:div w:id="1149979492">
          <w:marLeft w:val="0"/>
          <w:marRight w:val="0"/>
          <w:marTop w:val="0"/>
          <w:marBottom w:val="0"/>
          <w:divBdr>
            <w:top w:val="none" w:sz="0" w:space="0" w:color="auto"/>
            <w:left w:val="none" w:sz="0" w:space="0" w:color="auto"/>
            <w:bottom w:val="none" w:sz="0" w:space="0" w:color="auto"/>
            <w:right w:val="none" w:sz="0" w:space="0" w:color="auto"/>
          </w:divBdr>
        </w:div>
      </w:divsChild>
    </w:div>
    <w:div w:id="1840273593">
      <w:bodyDiv w:val="1"/>
      <w:marLeft w:val="0"/>
      <w:marRight w:val="0"/>
      <w:marTop w:val="0"/>
      <w:marBottom w:val="0"/>
      <w:divBdr>
        <w:top w:val="none" w:sz="0" w:space="0" w:color="auto"/>
        <w:left w:val="none" w:sz="0" w:space="0" w:color="auto"/>
        <w:bottom w:val="none" w:sz="0" w:space="0" w:color="auto"/>
        <w:right w:val="none" w:sz="0" w:space="0" w:color="auto"/>
      </w:divBdr>
      <w:divsChild>
        <w:div w:id="600650698">
          <w:marLeft w:val="0"/>
          <w:marRight w:val="0"/>
          <w:marTop w:val="0"/>
          <w:marBottom w:val="0"/>
          <w:divBdr>
            <w:top w:val="none" w:sz="0" w:space="0" w:color="auto"/>
            <w:left w:val="none" w:sz="0" w:space="0" w:color="auto"/>
            <w:bottom w:val="none" w:sz="0" w:space="0" w:color="auto"/>
            <w:right w:val="none" w:sz="0" w:space="0" w:color="auto"/>
          </w:divBdr>
        </w:div>
      </w:divsChild>
    </w:div>
    <w:div w:id="1889949134">
      <w:bodyDiv w:val="1"/>
      <w:marLeft w:val="0"/>
      <w:marRight w:val="0"/>
      <w:marTop w:val="0"/>
      <w:marBottom w:val="0"/>
      <w:divBdr>
        <w:top w:val="none" w:sz="0" w:space="0" w:color="auto"/>
        <w:left w:val="none" w:sz="0" w:space="0" w:color="auto"/>
        <w:bottom w:val="none" w:sz="0" w:space="0" w:color="auto"/>
        <w:right w:val="none" w:sz="0" w:space="0" w:color="auto"/>
      </w:divBdr>
      <w:divsChild>
        <w:div w:id="997684025">
          <w:marLeft w:val="0"/>
          <w:marRight w:val="0"/>
          <w:marTop w:val="0"/>
          <w:marBottom w:val="0"/>
          <w:divBdr>
            <w:top w:val="none" w:sz="0" w:space="0" w:color="auto"/>
            <w:left w:val="none" w:sz="0" w:space="0" w:color="auto"/>
            <w:bottom w:val="none" w:sz="0" w:space="0" w:color="auto"/>
            <w:right w:val="none" w:sz="0" w:space="0" w:color="auto"/>
          </w:divBdr>
        </w:div>
      </w:divsChild>
    </w:div>
    <w:div w:id="1907715412">
      <w:bodyDiv w:val="1"/>
      <w:marLeft w:val="0"/>
      <w:marRight w:val="0"/>
      <w:marTop w:val="0"/>
      <w:marBottom w:val="0"/>
      <w:divBdr>
        <w:top w:val="none" w:sz="0" w:space="0" w:color="auto"/>
        <w:left w:val="none" w:sz="0" w:space="0" w:color="auto"/>
        <w:bottom w:val="none" w:sz="0" w:space="0" w:color="auto"/>
        <w:right w:val="none" w:sz="0" w:space="0" w:color="auto"/>
      </w:divBdr>
      <w:divsChild>
        <w:div w:id="1928078298">
          <w:marLeft w:val="0"/>
          <w:marRight w:val="0"/>
          <w:marTop w:val="0"/>
          <w:marBottom w:val="0"/>
          <w:divBdr>
            <w:top w:val="none" w:sz="0" w:space="0" w:color="auto"/>
            <w:left w:val="none" w:sz="0" w:space="0" w:color="auto"/>
            <w:bottom w:val="none" w:sz="0" w:space="0" w:color="auto"/>
            <w:right w:val="none" w:sz="0" w:space="0" w:color="auto"/>
          </w:divBdr>
        </w:div>
      </w:divsChild>
    </w:div>
    <w:div w:id="2087147888">
      <w:bodyDiv w:val="1"/>
      <w:marLeft w:val="0"/>
      <w:marRight w:val="0"/>
      <w:marTop w:val="0"/>
      <w:marBottom w:val="0"/>
      <w:divBdr>
        <w:top w:val="none" w:sz="0" w:space="0" w:color="auto"/>
        <w:left w:val="none" w:sz="0" w:space="0" w:color="auto"/>
        <w:bottom w:val="none" w:sz="0" w:space="0" w:color="auto"/>
        <w:right w:val="none" w:sz="0" w:space="0" w:color="auto"/>
      </w:divBdr>
      <w:divsChild>
        <w:div w:id="193393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482cdfdf-5fad-4309-a969-752997fca72c</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8FD91A27-4891-4E10-8377-D1687D077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516A5-CFA9-4986-95DB-581D521E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C9E37-EEEE-448F-9BBC-E0A200006DAA}">
  <ds:schemaRefs>
    <ds:schemaRef ds:uri="http://schemas.openxmlformats.org/officeDocument/2006/bibliography"/>
  </ds:schemaRefs>
</ds:datastoreItem>
</file>

<file path=customXml/itemProps4.xml><?xml version="1.0" encoding="utf-8"?>
<ds:datastoreItem xmlns:ds="http://schemas.openxmlformats.org/officeDocument/2006/customXml" ds:itemID="{64F7F189-1809-4ECA-A7DC-857C6E962C5C}">
  <ds:schemaRefs>
    <ds:schemaRef ds:uri="http://schemas.microsoft.com/sharepoint/v3/contenttype/forms"/>
  </ds:schemaRefs>
</ds:datastoreItem>
</file>

<file path=customXml/itemProps5.xml><?xml version="1.0" encoding="utf-8"?>
<ds:datastoreItem xmlns:ds="http://schemas.openxmlformats.org/officeDocument/2006/customXml" ds:itemID="{72F4D8DE-ACA3-44E8-8306-65313886E88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2026-01-13T13:11:00Z</cp:lastPrinted>
  <dcterms:created xsi:type="dcterms:W3CDTF">2026-01-13T13:12:00Z</dcterms:created>
  <dcterms:modified xsi:type="dcterms:W3CDTF">2026-01-13T13:12:00Z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2025-03-14T11:27:40Z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45109094-02dc-4021-ab43-3583222bccb5</vt:lpwstr>
  </property>
  <property fmtid="{D5CDD505-2E9C-101B-9397-08002B2CF9AE}" pid="14" name="MSIP_Label_70108aff-3426-4749-9d04-de3a5077dcce_ContentBits">
    <vt:lpwstr>3</vt:lpwstr>
  </property>
  <property fmtid="{D5CDD505-2E9C-101B-9397-08002B2CF9AE}" pid="15" name="ContentTypeId">
    <vt:lpwstr>0x01010041CC8FD9FC602D47942046F00E7457D2</vt:lpwstr>
  </property>
  <property fmtid="{D5CDD505-2E9C-101B-9397-08002B2CF9AE}" pid="16" name="TitusGUID">
    <vt:lpwstr>482cdfdf-5fad-4309-a969-752997fca72c</vt:lpwstr>
  </property>
  <property fmtid="{D5CDD505-2E9C-101B-9397-08002B2CF9AE}" pid="17" name="Clasificare">
    <vt:lpwstr>NONE</vt:lpwstr>
  </property>
</Properties>
</file>